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E0F" w:rsidRPr="00E70678" w:rsidRDefault="00100E0F" w:rsidP="00E70678">
      <w:pPr>
        <w:pStyle w:val="ConsPlusNormal"/>
        <w:jc w:val="center"/>
        <w:rPr>
          <w:rFonts w:ascii="Open Sans" w:hAnsi="Open Sans" w:cs="Open Sans"/>
          <w:b/>
          <w:sz w:val="28"/>
          <w:szCs w:val="28"/>
        </w:rPr>
      </w:pPr>
      <w:r w:rsidRPr="00E70678">
        <w:rPr>
          <w:rFonts w:ascii="Open Sans" w:hAnsi="Open Sans" w:cs="Open Sans"/>
          <w:b/>
          <w:sz w:val="28"/>
          <w:szCs w:val="28"/>
        </w:rPr>
        <w:t>ПАМЯТКА</w:t>
      </w:r>
    </w:p>
    <w:p w:rsidR="00100E0F" w:rsidRPr="00E70678" w:rsidRDefault="00100E0F" w:rsidP="00E70678">
      <w:pPr>
        <w:pStyle w:val="ConsPlusNormal"/>
        <w:jc w:val="center"/>
        <w:rPr>
          <w:rFonts w:ascii="Open Sans" w:hAnsi="Open Sans" w:cs="Open Sans"/>
          <w:sz w:val="28"/>
          <w:szCs w:val="28"/>
        </w:rPr>
      </w:pPr>
      <w:r w:rsidRPr="00E70678">
        <w:rPr>
          <w:rFonts w:ascii="Open Sans" w:hAnsi="Open Sans" w:cs="Open Sans"/>
          <w:sz w:val="28"/>
          <w:szCs w:val="28"/>
        </w:rPr>
        <w:t xml:space="preserve">поступающему </w:t>
      </w:r>
      <w:r w:rsidR="00520B4D" w:rsidRPr="00E70678">
        <w:rPr>
          <w:rFonts w:ascii="Open Sans" w:hAnsi="Open Sans" w:cs="Open Sans"/>
          <w:sz w:val="28"/>
          <w:szCs w:val="28"/>
        </w:rPr>
        <w:t>на</w:t>
      </w:r>
      <w:r w:rsidRPr="00E70678">
        <w:rPr>
          <w:rFonts w:ascii="Open Sans" w:hAnsi="Open Sans" w:cs="Open Sans"/>
          <w:sz w:val="28"/>
          <w:szCs w:val="28"/>
        </w:rPr>
        <w:t xml:space="preserve"> места в пределах</w:t>
      </w:r>
    </w:p>
    <w:p w:rsidR="00100E0F" w:rsidRPr="00E70678" w:rsidRDefault="00100E0F" w:rsidP="00E70678">
      <w:pPr>
        <w:pStyle w:val="ConsPlusNormal"/>
        <w:jc w:val="center"/>
        <w:rPr>
          <w:rFonts w:ascii="Open Sans" w:hAnsi="Open Sans" w:cs="Open Sans"/>
          <w:b/>
          <w:sz w:val="28"/>
          <w:szCs w:val="28"/>
        </w:rPr>
      </w:pPr>
      <w:r w:rsidRPr="00E70678">
        <w:rPr>
          <w:rFonts w:ascii="Open Sans" w:hAnsi="Open Sans" w:cs="Open Sans"/>
          <w:b/>
          <w:sz w:val="28"/>
          <w:szCs w:val="28"/>
        </w:rPr>
        <w:t>ОТДЕЛЬНОЙ КВОТЫ</w:t>
      </w:r>
    </w:p>
    <w:p w:rsidR="00100E0F" w:rsidRPr="003D3EA4" w:rsidRDefault="00100E0F" w:rsidP="003D3EA4">
      <w:pPr>
        <w:pStyle w:val="ConsPlusNormal"/>
        <w:jc w:val="center"/>
        <w:rPr>
          <w:rFonts w:ascii="Open Sans" w:hAnsi="Open Sans" w:cs="Open Sans"/>
          <w:sz w:val="24"/>
          <w:szCs w:val="24"/>
        </w:rPr>
      </w:pPr>
    </w:p>
    <w:p w:rsidR="00100E0F" w:rsidRPr="003D3EA4" w:rsidRDefault="00100E0F" w:rsidP="00100E0F">
      <w:pPr>
        <w:pStyle w:val="ConsPlusNormal"/>
        <w:jc w:val="both"/>
        <w:rPr>
          <w:rFonts w:ascii="Open Sans" w:hAnsi="Open Sans" w:cs="Open Sans"/>
        </w:rPr>
      </w:pPr>
    </w:p>
    <w:p w:rsidR="00520B4D" w:rsidRPr="00D01C92" w:rsidRDefault="00520B4D" w:rsidP="006C0E0B">
      <w:pPr>
        <w:pStyle w:val="ConsPlusNormal"/>
        <w:ind w:firstLine="709"/>
        <w:jc w:val="both"/>
        <w:rPr>
          <w:rFonts w:ascii="Open Sans" w:hAnsi="Open Sans" w:cs="Open Sans"/>
          <w:b/>
          <w:sz w:val="24"/>
          <w:szCs w:val="24"/>
        </w:rPr>
      </w:pPr>
      <w:r w:rsidRPr="00D01C92">
        <w:rPr>
          <w:rFonts w:ascii="Open Sans" w:hAnsi="Open Sans" w:cs="Open Sans"/>
          <w:b/>
          <w:sz w:val="24"/>
          <w:szCs w:val="24"/>
        </w:rPr>
        <w:t xml:space="preserve">Нормативно-правовые акты, регулирующие прием поступающих в </w:t>
      </w:r>
      <w:r w:rsidR="00251D4B" w:rsidRPr="00D01C92">
        <w:rPr>
          <w:rFonts w:ascii="Open Sans" w:hAnsi="Open Sans" w:cs="Open Sans"/>
          <w:b/>
          <w:sz w:val="24"/>
          <w:szCs w:val="24"/>
          <w:lang w:eastAsia="ar-SA"/>
        </w:rPr>
        <w:t>бюджетное учреждение высшего образования Ханты-Мансийского автономного округа – Югры «</w:t>
      </w:r>
      <w:proofErr w:type="spellStart"/>
      <w:r w:rsidR="00251D4B" w:rsidRPr="00D01C92">
        <w:rPr>
          <w:rFonts w:ascii="Open Sans" w:hAnsi="Open Sans" w:cs="Open Sans"/>
          <w:b/>
          <w:sz w:val="24"/>
          <w:szCs w:val="24"/>
          <w:lang w:eastAsia="ar-SA"/>
        </w:rPr>
        <w:t>Сургутский</w:t>
      </w:r>
      <w:proofErr w:type="spellEnd"/>
      <w:r w:rsidR="00251D4B" w:rsidRPr="00D01C92">
        <w:rPr>
          <w:rFonts w:ascii="Open Sans" w:hAnsi="Open Sans" w:cs="Open Sans"/>
          <w:b/>
          <w:sz w:val="24"/>
          <w:szCs w:val="24"/>
          <w:lang w:eastAsia="ar-SA"/>
        </w:rPr>
        <w:t xml:space="preserve"> государственный университет» </w:t>
      </w:r>
      <w:r w:rsidRPr="00D01C92">
        <w:rPr>
          <w:rFonts w:ascii="Open Sans" w:hAnsi="Open Sans" w:cs="Open Sans"/>
          <w:b/>
          <w:sz w:val="24"/>
          <w:szCs w:val="24"/>
        </w:rPr>
        <w:t>(далее – Университет) на программы высшего образования –</w:t>
      </w:r>
      <w:r w:rsidR="00251D4B" w:rsidRPr="00D01C92">
        <w:rPr>
          <w:rFonts w:ascii="Open Sans" w:hAnsi="Open Sans" w:cs="Open Sans"/>
          <w:b/>
          <w:sz w:val="24"/>
          <w:szCs w:val="24"/>
        </w:rPr>
        <w:t xml:space="preserve"> </w:t>
      </w:r>
      <w:r w:rsidRPr="00D01C92">
        <w:rPr>
          <w:rFonts w:ascii="Open Sans" w:hAnsi="Open Sans" w:cs="Open Sans"/>
          <w:b/>
          <w:sz w:val="24"/>
          <w:szCs w:val="24"/>
        </w:rPr>
        <w:t xml:space="preserve">программы </w:t>
      </w:r>
      <w:proofErr w:type="spellStart"/>
      <w:r w:rsidRPr="00D01C92">
        <w:rPr>
          <w:rFonts w:ascii="Open Sans" w:hAnsi="Open Sans" w:cs="Open Sans"/>
          <w:b/>
          <w:sz w:val="24"/>
          <w:szCs w:val="24"/>
        </w:rPr>
        <w:t>бакалавриата</w:t>
      </w:r>
      <w:proofErr w:type="spellEnd"/>
      <w:r w:rsidRPr="00D01C92">
        <w:rPr>
          <w:rFonts w:ascii="Open Sans" w:hAnsi="Open Sans" w:cs="Open Sans"/>
          <w:b/>
          <w:sz w:val="24"/>
          <w:szCs w:val="24"/>
        </w:rPr>
        <w:t xml:space="preserve">, программы </w:t>
      </w:r>
      <w:proofErr w:type="spellStart"/>
      <w:r w:rsidRPr="00D01C92">
        <w:rPr>
          <w:rFonts w:ascii="Open Sans" w:hAnsi="Open Sans" w:cs="Open Sans"/>
          <w:b/>
          <w:sz w:val="24"/>
          <w:szCs w:val="24"/>
        </w:rPr>
        <w:t>специалитета</w:t>
      </w:r>
      <w:proofErr w:type="spellEnd"/>
      <w:r w:rsidRPr="00D01C92">
        <w:rPr>
          <w:rFonts w:ascii="Open Sans" w:hAnsi="Open Sans" w:cs="Open Sans"/>
          <w:b/>
          <w:sz w:val="24"/>
          <w:szCs w:val="24"/>
        </w:rPr>
        <w:t xml:space="preserve"> на места</w:t>
      </w:r>
      <w:r w:rsidR="00D01C92">
        <w:rPr>
          <w:rFonts w:ascii="Open Sans" w:hAnsi="Open Sans" w:cs="Open Sans"/>
          <w:b/>
          <w:sz w:val="24"/>
          <w:szCs w:val="24"/>
        </w:rPr>
        <w:t xml:space="preserve"> </w:t>
      </w:r>
      <w:r w:rsidRPr="00D01C92">
        <w:rPr>
          <w:rFonts w:ascii="Open Sans" w:hAnsi="Open Sans" w:cs="Open Sans"/>
          <w:b/>
          <w:sz w:val="24"/>
          <w:szCs w:val="24"/>
        </w:rPr>
        <w:t>в пределах отдельной квоты:</w:t>
      </w:r>
    </w:p>
    <w:p w:rsidR="006C0E0B" w:rsidRPr="00D01C92" w:rsidRDefault="006C0E0B" w:rsidP="006C0E0B">
      <w:pPr>
        <w:pStyle w:val="ConsPlusNormal"/>
        <w:ind w:firstLine="709"/>
        <w:jc w:val="both"/>
        <w:rPr>
          <w:rFonts w:ascii="Open Sans" w:hAnsi="Open Sans" w:cs="Open Sans"/>
          <w:sz w:val="24"/>
          <w:szCs w:val="24"/>
        </w:rPr>
      </w:pPr>
    </w:p>
    <w:p w:rsidR="00520B4D" w:rsidRPr="00D01C92" w:rsidRDefault="00520B4D" w:rsidP="004D49BB">
      <w:pPr>
        <w:pStyle w:val="ConsPlusNormal"/>
        <w:numPr>
          <w:ilvl w:val="0"/>
          <w:numId w:val="1"/>
        </w:numPr>
        <w:tabs>
          <w:tab w:val="left" w:pos="567"/>
        </w:tabs>
        <w:ind w:left="0" w:firstLine="0"/>
        <w:jc w:val="both"/>
        <w:rPr>
          <w:rFonts w:ascii="Open Sans" w:hAnsi="Open Sans" w:cs="Open Sans"/>
          <w:sz w:val="24"/>
          <w:szCs w:val="24"/>
        </w:rPr>
      </w:pPr>
      <w:r w:rsidRPr="00D01C92">
        <w:rPr>
          <w:rFonts w:ascii="Open Sans" w:hAnsi="Open Sans" w:cs="Open Sans"/>
          <w:sz w:val="24"/>
          <w:szCs w:val="24"/>
        </w:rPr>
        <w:t>часть 5.1 статьи 71 Федерального закона от 29.12.2012 N 273-ФЗ «Об образовании в Российской Федерации»;</w:t>
      </w:r>
    </w:p>
    <w:p w:rsidR="00520B4D" w:rsidRPr="00D01C92" w:rsidRDefault="00520B4D" w:rsidP="004D49BB">
      <w:pPr>
        <w:pStyle w:val="ConsPlusNormal"/>
        <w:numPr>
          <w:ilvl w:val="0"/>
          <w:numId w:val="1"/>
        </w:numPr>
        <w:tabs>
          <w:tab w:val="left" w:pos="567"/>
        </w:tabs>
        <w:ind w:left="0" w:firstLine="0"/>
        <w:jc w:val="both"/>
        <w:rPr>
          <w:rFonts w:ascii="Open Sans" w:hAnsi="Open Sans" w:cs="Open Sans"/>
          <w:sz w:val="24"/>
          <w:szCs w:val="24"/>
        </w:rPr>
      </w:pPr>
      <w:r w:rsidRPr="00D01C92">
        <w:rPr>
          <w:rFonts w:ascii="Open Sans" w:hAnsi="Open Sans" w:cs="Open Sans"/>
          <w:sz w:val="24"/>
          <w:szCs w:val="24"/>
        </w:rPr>
        <w:t xml:space="preserve">Порядок приема на обучение по образовательным программам высшего образования - программам </w:t>
      </w:r>
      <w:proofErr w:type="spellStart"/>
      <w:r w:rsidRPr="00D01C92">
        <w:rPr>
          <w:rFonts w:ascii="Open Sans" w:hAnsi="Open Sans" w:cs="Open Sans"/>
          <w:sz w:val="24"/>
          <w:szCs w:val="24"/>
        </w:rPr>
        <w:t>бакалавриата</w:t>
      </w:r>
      <w:proofErr w:type="spellEnd"/>
      <w:r w:rsidRPr="00D01C92">
        <w:rPr>
          <w:rFonts w:ascii="Open Sans" w:hAnsi="Open Sans" w:cs="Open Sans"/>
          <w:sz w:val="24"/>
          <w:szCs w:val="24"/>
        </w:rPr>
        <w:t xml:space="preserve">, </w:t>
      </w:r>
      <w:proofErr w:type="spellStart"/>
      <w:r w:rsidRPr="00D01C92">
        <w:rPr>
          <w:rFonts w:ascii="Open Sans" w:hAnsi="Open Sans" w:cs="Open Sans"/>
          <w:sz w:val="24"/>
          <w:szCs w:val="24"/>
        </w:rPr>
        <w:t>специалитета</w:t>
      </w:r>
      <w:proofErr w:type="spellEnd"/>
      <w:r w:rsidRPr="00D01C92">
        <w:rPr>
          <w:rFonts w:ascii="Open Sans" w:hAnsi="Open Sans" w:cs="Open Sans"/>
          <w:sz w:val="24"/>
          <w:szCs w:val="24"/>
        </w:rPr>
        <w:t xml:space="preserve">, магистратуры в 2024 году (Приказ </w:t>
      </w:r>
      <w:proofErr w:type="spellStart"/>
      <w:r w:rsidRPr="00D01C92">
        <w:rPr>
          <w:rFonts w:ascii="Open Sans" w:hAnsi="Open Sans" w:cs="Open Sans"/>
          <w:sz w:val="24"/>
          <w:szCs w:val="24"/>
        </w:rPr>
        <w:t>Минобрнауки</w:t>
      </w:r>
      <w:proofErr w:type="spellEnd"/>
      <w:r w:rsidRPr="00D01C92">
        <w:rPr>
          <w:rFonts w:ascii="Open Sans" w:hAnsi="Open Sans" w:cs="Open Sans"/>
          <w:sz w:val="24"/>
          <w:szCs w:val="24"/>
        </w:rPr>
        <w:t xml:space="preserve"> России</w:t>
      </w:r>
      <w:r w:rsidR="006C0E0B" w:rsidRPr="00D01C92">
        <w:rPr>
          <w:rFonts w:ascii="Open Sans" w:hAnsi="Open Sans" w:cs="Open Sans"/>
          <w:sz w:val="24"/>
          <w:szCs w:val="24"/>
        </w:rPr>
        <w:t xml:space="preserve"> </w:t>
      </w:r>
      <w:r w:rsidRPr="00D01C92">
        <w:rPr>
          <w:rFonts w:ascii="Open Sans" w:hAnsi="Open Sans" w:cs="Open Sans"/>
          <w:sz w:val="24"/>
          <w:szCs w:val="24"/>
        </w:rPr>
        <w:t>от 21 августа 2020 г. № 1076) (далее – Порядок приема);</w:t>
      </w:r>
    </w:p>
    <w:p w:rsidR="00520B4D" w:rsidRPr="00D01C92" w:rsidRDefault="00520B4D" w:rsidP="004D49BB">
      <w:pPr>
        <w:pStyle w:val="ConsPlusNormal"/>
        <w:numPr>
          <w:ilvl w:val="0"/>
          <w:numId w:val="1"/>
        </w:numPr>
        <w:tabs>
          <w:tab w:val="left" w:pos="567"/>
        </w:tabs>
        <w:ind w:left="0" w:firstLine="0"/>
        <w:jc w:val="both"/>
        <w:rPr>
          <w:rFonts w:ascii="Open Sans" w:hAnsi="Open Sans" w:cs="Open Sans"/>
          <w:sz w:val="24"/>
          <w:szCs w:val="24"/>
        </w:rPr>
      </w:pPr>
      <w:r w:rsidRPr="00D01C92">
        <w:rPr>
          <w:rFonts w:ascii="Open Sans" w:hAnsi="Open Sans" w:cs="Open Sans"/>
          <w:sz w:val="24"/>
          <w:szCs w:val="24"/>
        </w:rPr>
        <w:t xml:space="preserve">Правила приема в Университет </w:t>
      </w:r>
      <w:r w:rsidR="00524F15" w:rsidRPr="00D01C92">
        <w:rPr>
          <w:rFonts w:ascii="Open Sans" w:hAnsi="Open Sans" w:cs="Open Sans"/>
          <w:b/>
          <w:sz w:val="24"/>
          <w:szCs w:val="24"/>
          <w:lang w:eastAsia="ar-SA"/>
        </w:rPr>
        <w:t xml:space="preserve">на обучение по образовательным программам высшего образования – программам </w:t>
      </w:r>
      <w:proofErr w:type="spellStart"/>
      <w:r w:rsidR="00524F15" w:rsidRPr="00D01C92">
        <w:rPr>
          <w:rFonts w:ascii="Open Sans" w:hAnsi="Open Sans" w:cs="Open Sans"/>
          <w:b/>
          <w:sz w:val="24"/>
          <w:szCs w:val="24"/>
          <w:lang w:eastAsia="ar-SA"/>
        </w:rPr>
        <w:t>бакалавриата</w:t>
      </w:r>
      <w:proofErr w:type="spellEnd"/>
      <w:r w:rsidR="00524F15" w:rsidRPr="00D01C92">
        <w:rPr>
          <w:rFonts w:ascii="Open Sans" w:hAnsi="Open Sans" w:cs="Open Sans"/>
          <w:b/>
          <w:sz w:val="24"/>
          <w:szCs w:val="24"/>
          <w:lang w:eastAsia="ar-SA"/>
        </w:rPr>
        <w:t xml:space="preserve">, программам </w:t>
      </w:r>
      <w:proofErr w:type="spellStart"/>
      <w:r w:rsidR="00524F15" w:rsidRPr="00D01C92">
        <w:rPr>
          <w:rFonts w:ascii="Open Sans" w:hAnsi="Open Sans" w:cs="Open Sans"/>
          <w:b/>
          <w:sz w:val="24"/>
          <w:szCs w:val="24"/>
          <w:lang w:eastAsia="ar-SA"/>
        </w:rPr>
        <w:t>специалитета</w:t>
      </w:r>
      <w:proofErr w:type="spellEnd"/>
      <w:r w:rsidR="00524F15" w:rsidRPr="00D01C92">
        <w:rPr>
          <w:rFonts w:ascii="Open Sans" w:hAnsi="Open Sans" w:cs="Open Sans"/>
          <w:b/>
          <w:sz w:val="24"/>
          <w:szCs w:val="24"/>
          <w:lang w:eastAsia="ar-SA"/>
        </w:rPr>
        <w:t>, программам магистратуры на 202</w:t>
      </w:r>
      <w:r w:rsidR="00E86EC7">
        <w:rPr>
          <w:rFonts w:ascii="Open Sans" w:hAnsi="Open Sans" w:cs="Open Sans"/>
          <w:b/>
          <w:sz w:val="24"/>
          <w:szCs w:val="24"/>
          <w:lang w:eastAsia="ar-SA"/>
        </w:rPr>
        <w:t>5</w:t>
      </w:r>
      <w:r w:rsidR="00524F15" w:rsidRPr="00D01C92">
        <w:rPr>
          <w:rFonts w:ascii="Open Sans" w:hAnsi="Open Sans" w:cs="Open Sans"/>
          <w:b/>
          <w:sz w:val="24"/>
          <w:szCs w:val="24"/>
          <w:lang w:eastAsia="ar-SA"/>
        </w:rPr>
        <w:t>/2</w:t>
      </w:r>
      <w:r w:rsidR="00E86EC7">
        <w:rPr>
          <w:rFonts w:ascii="Open Sans" w:hAnsi="Open Sans" w:cs="Open Sans"/>
          <w:b/>
          <w:sz w:val="24"/>
          <w:szCs w:val="24"/>
          <w:lang w:eastAsia="ar-SA"/>
        </w:rPr>
        <w:t>6</w:t>
      </w:r>
      <w:r w:rsidR="00524F15" w:rsidRPr="00D01C92">
        <w:rPr>
          <w:rFonts w:ascii="Open Sans" w:hAnsi="Open Sans" w:cs="Open Sans"/>
          <w:b/>
          <w:sz w:val="24"/>
          <w:szCs w:val="24"/>
          <w:lang w:eastAsia="ar-SA"/>
        </w:rPr>
        <w:t xml:space="preserve"> учебный год </w:t>
      </w:r>
      <w:r w:rsidRPr="00D01C92">
        <w:rPr>
          <w:rFonts w:ascii="Open Sans" w:hAnsi="Open Sans" w:cs="Open Sans"/>
          <w:sz w:val="24"/>
          <w:szCs w:val="24"/>
        </w:rPr>
        <w:t>(далее – Правила приема);</w:t>
      </w:r>
    </w:p>
    <w:p w:rsidR="00100E0F" w:rsidRPr="00D01C92" w:rsidRDefault="00520B4D" w:rsidP="004D49BB">
      <w:pPr>
        <w:pStyle w:val="ConsPlusNormal"/>
        <w:numPr>
          <w:ilvl w:val="0"/>
          <w:numId w:val="1"/>
        </w:numPr>
        <w:tabs>
          <w:tab w:val="left" w:pos="567"/>
        </w:tabs>
        <w:ind w:left="0" w:firstLine="0"/>
        <w:jc w:val="both"/>
        <w:rPr>
          <w:rFonts w:ascii="Open Sans" w:hAnsi="Open Sans" w:cs="Open Sans"/>
          <w:sz w:val="24"/>
          <w:szCs w:val="24"/>
        </w:rPr>
      </w:pPr>
      <w:r w:rsidRPr="00D01C92">
        <w:rPr>
          <w:rFonts w:ascii="Open Sans" w:hAnsi="Open Sans" w:cs="Open Sans"/>
          <w:sz w:val="24"/>
          <w:szCs w:val="24"/>
        </w:rPr>
        <w:t xml:space="preserve">Методические рекомендации </w:t>
      </w:r>
      <w:proofErr w:type="spellStart"/>
      <w:r w:rsidRPr="00D01C92">
        <w:rPr>
          <w:rFonts w:ascii="Open Sans" w:hAnsi="Open Sans" w:cs="Open Sans"/>
          <w:sz w:val="24"/>
          <w:szCs w:val="24"/>
        </w:rPr>
        <w:t>Минобрнауки</w:t>
      </w:r>
      <w:proofErr w:type="spellEnd"/>
      <w:r w:rsidRPr="00D01C92">
        <w:rPr>
          <w:rFonts w:ascii="Open Sans" w:hAnsi="Open Sans" w:cs="Open Sans"/>
          <w:sz w:val="24"/>
          <w:szCs w:val="24"/>
        </w:rPr>
        <w:t xml:space="preserve"> России от</w:t>
      </w:r>
      <w:r w:rsidR="006C0E0B" w:rsidRPr="00D01C92">
        <w:rPr>
          <w:rFonts w:ascii="Open Sans" w:hAnsi="Open Sans" w:cs="Open Sans"/>
          <w:sz w:val="24"/>
          <w:szCs w:val="24"/>
        </w:rPr>
        <w:t xml:space="preserve"> </w:t>
      </w:r>
      <w:r w:rsidRPr="00D01C92">
        <w:rPr>
          <w:rFonts w:ascii="Open Sans" w:hAnsi="Open Sans" w:cs="Open Sans"/>
          <w:sz w:val="24"/>
          <w:szCs w:val="24"/>
        </w:rPr>
        <w:t>08.05.2024 № МН-5/2527.</w:t>
      </w:r>
    </w:p>
    <w:p w:rsidR="00520B4D" w:rsidRPr="0050244A" w:rsidRDefault="00520B4D" w:rsidP="004D49BB">
      <w:pPr>
        <w:pStyle w:val="ConsPlusNormal"/>
        <w:tabs>
          <w:tab w:val="left" w:pos="567"/>
        </w:tabs>
        <w:jc w:val="both"/>
        <w:rPr>
          <w:rFonts w:ascii="Open Sans" w:hAnsi="Open Sans" w:cs="Open Sans"/>
          <w:sz w:val="24"/>
          <w:szCs w:val="24"/>
        </w:rPr>
      </w:pPr>
    </w:p>
    <w:p w:rsidR="00466A71" w:rsidRDefault="00466A71" w:rsidP="007D269C">
      <w:pPr>
        <w:pStyle w:val="ConsPlusNormal"/>
        <w:tabs>
          <w:tab w:val="left" w:pos="567"/>
        </w:tabs>
        <w:jc w:val="center"/>
        <w:rPr>
          <w:rFonts w:ascii="Open Sans" w:hAnsi="Open Sans" w:cs="Open Sans"/>
          <w:b/>
          <w:sz w:val="26"/>
          <w:szCs w:val="26"/>
        </w:rPr>
      </w:pPr>
    </w:p>
    <w:p w:rsidR="009B651D" w:rsidRPr="00E70678" w:rsidRDefault="00D01C92" w:rsidP="007D269C">
      <w:pPr>
        <w:pStyle w:val="ConsPlusNormal"/>
        <w:tabs>
          <w:tab w:val="left" w:pos="567"/>
        </w:tabs>
        <w:jc w:val="center"/>
        <w:rPr>
          <w:rFonts w:ascii="Open Sans" w:hAnsi="Open Sans" w:cs="Open Sans"/>
          <w:b/>
          <w:sz w:val="26"/>
          <w:szCs w:val="26"/>
        </w:rPr>
      </w:pPr>
      <w:r w:rsidRPr="00E70678">
        <w:rPr>
          <w:rFonts w:ascii="Open Sans" w:hAnsi="Open Sans" w:cs="Open Sans"/>
          <w:b/>
          <w:sz w:val="26"/>
          <w:szCs w:val="26"/>
        </w:rPr>
        <w:t xml:space="preserve">ПРАВО НА ПРИЕМ В ПРЕДЕЛАХ ОТДЕЛЬНОЙ КВОТЫ ИМЕЮТ </w:t>
      </w:r>
    </w:p>
    <w:p w:rsidR="00520B4D" w:rsidRPr="00E70678" w:rsidRDefault="00D01C92" w:rsidP="007D269C">
      <w:pPr>
        <w:pStyle w:val="ConsPlusNormal"/>
        <w:tabs>
          <w:tab w:val="left" w:pos="567"/>
        </w:tabs>
        <w:jc w:val="center"/>
        <w:rPr>
          <w:rFonts w:ascii="Open Sans" w:hAnsi="Open Sans" w:cs="Open Sans"/>
          <w:b/>
          <w:sz w:val="26"/>
          <w:szCs w:val="26"/>
        </w:rPr>
      </w:pPr>
      <w:r w:rsidRPr="00E70678">
        <w:rPr>
          <w:rFonts w:ascii="Open Sans" w:hAnsi="Open Sans" w:cs="Open Sans"/>
          <w:b/>
          <w:sz w:val="26"/>
          <w:szCs w:val="26"/>
        </w:rPr>
        <w:t>(ч. 5.1 ст. 71 Закона об образовании):</w:t>
      </w:r>
    </w:p>
    <w:p w:rsidR="00520B4D" w:rsidRPr="009B651D" w:rsidRDefault="00520B4D" w:rsidP="007D269C">
      <w:pPr>
        <w:pStyle w:val="ConsPlusNormal"/>
        <w:tabs>
          <w:tab w:val="left" w:pos="567"/>
        </w:tabs>
        <w:jc w:val="center"/>
        <w:rPr>
          <w:rFonts w:ascii="Open Sans" w:hAnsi="Open Sans" w:cs="Open Sans"/>
          <w:b/>
          <w:sz w:val="24"/>
          <w:szCs w:val="24"/>
        </w:rPr>
      </w:pPr>
    </w:p>
    <w:p w:rsidR="00FE3EA8" w:rsidRPr="00FE3EA8" w:rsidRDefault="00FE3EA8" w:rsidP="005629BE">
      <w:pPr>
        <w:pStyle w:val="ConsPlusNormal"/>
        <w:suppressAutoHyphens/>
        <w:jc w:val="both"/>
        <w:rPr>
          <w:rFonts w:ascii="Open Sans" w:hAnsi="Open Sans" w:cs="Open Sans"/>
          <w:sz w:val="24"/>
          <w:szCs w:val="24"/>
        </w:rPr>
      </w:pPr>
      <w:r w:rsidRPr="00FE3EA8">
        <w:rPr>
          <w:rFonts w:ascii="Open Sans" w:hAnsi="Open Sans" w:cs="Open Sans"/>
          <w:sz w:val="24"/>
          <w:szCs w:val="24"/>
        </w:rPr>
        <w:t>1) Герои Российской Федерации, лица, награжденные тремя орденами Мужества;</w:t>
      </w:r>
    </w:p>
    <w:p w:rsidR="005629BE" w:rsidRDefault="005629BE" w:rsidP="005629BE">
      <w:pPr>
        <w:jc w:val="both"/>
        <w:rPr>
          <w:rFonts w:ascii="Open Sans" w:eastAsiaTheme="minorEastAsia" w:hAnsi="Open Sans" w:cs="Open Sans"/>
          <w:sz w:val="24"/>
          <w:szCs w:val="24"/>
          <w:lang w:eastAsia="ru-RU"/>
        </w:rPr>
      </w:pPr>
    </w:p>
    <w:p w:rsidR="00FE3EA8" w:rsidRPr="005629BE" w:rsidRDefault="00FE3EA8" w:rsidP="005629BE">
      <w:pPr>
        <w:jc w:val="both"/>
        <w:rPr>
          <w:rFonts w:ascii="Open Sans" w:eastAsiaTheme="minorEastAsia" w:hAnsi="Open Sans" w:cs="Open Sans"/>
          <w:sz w:val="24"/>
          <w:szCs w:val="24"/>
          <w:lang w:eastAsia="ru-RU"/>
        </w:rPr>
      </w:pPr>
      <w:r w:rsidRPr="00FE3EA8">
        <w:rPr>
          <w:rFonts w:ascii="Open Sans" w:eastAsiaTheme="minorEastAsia" w:hAnsi="Open Sans" w:cs="Open Sans"/>
          <w:sz w:val="24"/>
          <w:szCs w:val="24"/>
          <w:lang w:eastAsia="ru-RU"/>
        </w:rPr>
        <w:t>2) граждане, проходящие (проходившие) военную службу в Вооруженных</w:t>
      </w:r>
      <w:r>
        <w:rPr>
          <w:rFonts w:ascii="Open Sans" w:eastAsiaTheme="minorEastAsia" w:hAnsi="Open Sans" w:cs="Open Sans"/>
          <w:sz w:val="24"/>
          <w:szCs w:val="24"/>
          <w:lang w:eastAsia="ru-RU"/>
        </w:rPr>
        <w:t xml:space="preserve"> </w:t>
      </w:r>
      <w:r w:rsidRPr="00FE3EA8">
        <w:rPr>
          <w:rFonts w:ascii="Open Sans" w:eastAsiaTheme="minorEastAsia" w:hAnsi="Open Sans" w:cs="Open Sans"/>
          <w:sz w:val="24"/>
          <w:szCs w:val="24"/>
          <w:lang w:eastAsia="ru-RU"/>
        </w:rPr>
        <w:t>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 6 ст. 1 Федерального закона от 31.05.1996 № 61-ФЗ «Об обороне», при условии их участия в специальной военной операции и (или) выполнения ими задач по отражению</w:t>
      </w:r>
      <w:r w:rsidR="005629BE">
        <w:rPr>
          <w:rFonts w:ascii="Open Sans" w:eastAsiaTheme="minorEastAsia" w:hAnsi="Open Sans" w:cs="Open Sans"/>
          <w:sz w:val="24"/>
          <w:szCs w:val="24"/>
          <w:lang w:eastAsia="ru-RU"/>
        </w:rPr>
        <w:t xml:space="preserve"> </w:t>
      </w:r>
      <w:r w:rsidRPr="00FE3EA8">
        <w:rPr>
          <w:rFonts w:ascii="Open Sans" w:hAnsi="Open Sans" w:cs="Open Sans"/>
          <w:sz w:val="24"/>
          <w:szCs w:val="24"/>
        </w:rPr>
        <w:t xml:space="preserve">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находящиеся </w:t>
      </w:r>
      <w:r w:rsidRPr="00FE3EA8">
        <w:rPr>
          <w:rFonts w:ascii="Open Sans" w:hAnsi="Open Sans" w:cs="Open Sans"/>
          <w:sz w:val="24"/>
          <w:szCs w:val="24"/>
        </w:rPr>
        <w:lastRenderedPageBreak/>
        <w:t>(находившиеся)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FE3EA8" w:rsidRDefault="00FE3EA8" w:rsidP="00FE3EA8">
      <w:pPr>
        <w:pStyle w:val="ConsPlusNormal"/>
        <w:suppressAutoHyphens/>
        <w:jc w:val="both"/>
        <w:rPr>
          <w:rFonts w:ascii="Open Sans" w:hAnsi="Open Sans" w:cs="Open Sans"/>
          <w:sz w:val="24"/>
          <w:szCs w:val="24"/>
        </w:rPr>
      </w:pPr>
      <w:r w:rsidRPr="00FE3EA8">
        <w:rPr>
          <w:rFonts w:ascii="Open Sans" w:hAnsi="Open Sans" w:cs="Open Sans"/>
          <w:sz w:val="24"/>
          <w:szCs w:val="24"/>
        </w:rP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5629BE" w:rsidRPr="00FE3EA8" w:rsidRDefault="005629BE" w:rsidP="00FE3EA8">
      <w:pPr>
        <w:pStyle w:val="ConsPlusNormal"/>
        <w:suppressAutoHyphens/>
        <w:jc w:val="both"/>
        <w:rPr>
          <w:rFonts w:ascii="Open Sans" w:hAnsi="Open Sans" w:cs="Open Sans"/>
          <w:sz w:val="24"/>
          <w:szCs w:val="24"/>
        </w:rPr>
      </w:pPr>
    </w:p>
    <w:p w:rsidR="00FE3EA8" w:rsidRDefault="00FE3EA8" w:rsidP="00FE3EA8">
      <w:pPr>
        <w:pStyle w:val="ConsPlusNormal"/>
        <w:suppressAutoHyphens/>
        <w:jc w:val="both"/>
        <w:rPr>
          <w:rFonts w:ascii="Open Sans" w:hAnsi="Open Sans" w:cs="Open Sans"/>
          <w:sz w:val="24"/>
          <w:szCs w:val="24"/>
        </w:rPr>
      </w:pPr>
      <w:r w:rsidRPr="00FE3EA8">
        <w:rPr>
          <w:rFonts w:ascii="Open Sans" w:hAnsi="Open Sans" w:cs="Open Sans"/>
          <w:sz w:val="24"/>
          <w:szCs w:val="24"/>
        </w:rP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166EA3" w:rsidRPr="00FE3EA8" w:rsidRDefault="00166EA3" w:rsidP="00FE3EA8">
      <w:pPr>
        <w:pStyle w:val="ConsPlusNormal"/>
        <w:suppressAutoHyphens/>
        <w:jc w:val="both"/>
        <w:rPr>
          <w:rFonts w:ascii="Open Sans" w:hAnsi="Open Sans" w:cs="Open Sans"/>
          <w:sz w:val="24"/>
          <w:szCs w:val="24"/>
        </w:rPr>
      </w:pPr>
    </w:p>
    <w:p w:rsidR="00FE3EA8" w:rsidRDefault="00FE3EA8" w:rsidP="00FE3EA8">
      <w:pPr>
        <w:pStyle w:val="ConsPlusNormal"/>
        <w:suppressAutoHyphens/>
        <w:jc w:val="both"/>
        <w:rPr>
          <w:rFonts w:ascii="Open Sans" w:hAnsi="Open Sans" w:cs="Open Sans"/>
          <w:sz w:val="24"/>
          <w:szCs w:val="24"/>
        </w:rPr>
      </w:pPr>
      <w:r w:rsidRPr="00FE3EA8">
        <w:rPr>
          <w:rFonts w:ascii="Open Sans" w:hAnsi="Open Sans" w:cs="Open Sans"/>
          <w:sz w:val="24"/>
          <w:szCs w:val="24"/>
        </w:rPr>
        <w:t>5) дети лиц, указанных в подп. 2–</w:t>
      </w:r>
      <w:proofErr w:type="gramStart"/>
      <w:r w:rsidRPr="00FE3EA8">
        <w:rPr>
          <w:rFonts w:ascii="Open Sans" w:hAnsi="Open Sans" w:cs="Open Sans"/>
          <w:sz w:val="24"/>
          <w:szCs w:val="24"/>
        </w:rPr>
        <w:t>4 ;</w:t>
      </w:r>
      <w:proofErr w:type="gramEnd"/>
    </w:p>
    <w:p w:rsidR="00166EA3" w:rsidRPr="00FE3EA8" w:rsidRDefault="00166EA3" w:rsidP="00FE3EA8">
      <w:pPr>
        <w:pStyle w:val="ConsPlusNormal"/>
        <w:suppressAutoHyphens/>
        <w:jc w:val="both"/>
        <w:rPr>
          <w:rFonts w:ascii="Open Sans" w:hAnsi="Open Sans" w:cs="Open Sans"/>
          <w:sz w:val="24"/>
          <w:szCs w:val="24"/>
        </w:rPr>
      </w:pPr>
    </w:p>
    <w:p w:rsidR="00FE3EA8" w:rsidRDefault="00FE3EA8" w:rsidP="00FE3EA8">
      <w:pPr>
        <w:pStyle w:val="ConsPlusNormal"/>
        <w:suppressAutoHyphens/>
        <w:jc w:val="both"/>
        <w:rPr>
          <w:rFonts w:ascii="Open Sans" w:hAnsi="Open Sans" w:cs="Open Sans"/>
          <w:sz w:val="24"/>
          <w:szCs w:val="24"/>
        </w:rPr>
      </w:pPr>
      <w:r w:rsidRPr="00FE3EA8">
        <w:rPr>
          <w:rFonts w:ascii="Open Sans" w:hAnsi="Open Sans" w:cs="Open Sans"/>
          <w:sz w:val="24"/>
          <w:szCs w:val="24"/>
        </w:rP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166EA3" w:rsidRPr="00FE3EA8" w:rsidRDefault="00166EA3" w:rsidP="00FE3EA8">
      <w:pPr>
        <w:pStyle w:val="ConsPlusNormal"/>
        <w:suppressAutoHyphens/>
        <w:jc w:val="both"/>
        <w:rPr>
          <w:rFonts w:ascii="Open Sans" w:hAnsi="Open Sans" w:cs="Open Sans"/>
          <w:sz w:val="24"/>
          <w:szCs w:val="24"/>
        </w:rPr>
      </w:pPr>
    </w:p>
    <w:p w:rsidR="00522C7F" w:rsidRDefault="00FE3EA8" w:rsidP="00522C7F">
      <w:pPr>
        <w:pStyle w:val="ConsPlusNormal"/>
        <w:suppressAutoHyphens/>
        <w:jc w:val="both"/>
        <w:rPr>
          <w:rFonts w:ascii="Open Sans" w:hAnsi="Open Sans" w:cs="Open Sans"/>
          <w:sz w:val="24"/>
          <w:szCs w:val="24"/>
        </w:rPr>
      </w:pPr>
      <w:r w:rsidRPr="00FE3EA8">
        <w:rPr>
          <w:rFonts w:ascii="Open Sans" w:hAnsi="Open Sans" w:cs="Open Sans"/>
          <w:sz w:val="24"/>
          <w:szCs w:val="24"/>
        </w:rPr>
        <w:t xml:space="preserve">7) дети медицинских работников, умерших в результате инфицирования новой </w:t>
      </w:r>
      <w:proofErr w:type="spellStart"/>
      <w:r w:rsidRPr="00FE3EA8">
        <w:rPr>
          <w:rFonts w:ascii="Open Sans" w:hAnsi="Open Sans" w:cs="Open Sans"/>
          <w:sz w:val="24"/>
          <w:szCs w:val="24"/>
        </w:rPr>
        <w:t>коронавирусной</w:t>
      </w:r>
      <w:proofErr w:type="spellEnd"/>
      <w:r w:rsidRPr="00FE3EA8">
        <w:rPr>
          <w:rFonts w:ascii="Open Sans" w:hAnsi="Open Sans" w:cs="Open Sans"/>
          <w:sz w:val="24"/>
          <w:szCs w:val="24"/>
        </w:rPr>
        <w:t xml:space="preserve"> инфекцией (COVID-19) при исполнении ими трудовых обязанностей, – по основным профессиональным образовательным программам медицинского образования 31.05.01 Лечебное дело, 31.05.02 Педиатрия.</w:t>
      </w:r>
    </w:p>
    <w:p w:rsidR="00522C7F" w:rsidRDefault="00522C7F" w:rsidP="00522C7F">
      <w:pPr>
        <w:pStyle w:val="ConsPlusNormal"/>
        <w:suppressAutoHyphens/>
        <w:jc w:val="both"/>
        <w:rPr>
          <w:rFonts w:ascii="Open Sans" w:hAnsi="Open Sans" w:cs="Open Sans"/>
          <w:sz w:val="24"/>
          <w:szCs w:val="24"/>
        </w:rPr>
      </w:pPr>
    </w:p>
    <w:p w:rsidR="00522C7F" w:rsidRDefault="00522C7F" w:rsidP="00522C7F">
      <w:pPr>
        <w:jc w:val="both"/>
        <w:rPr>
          <w:rFonts w:ascii="Open Sans" w:eastAsiaTheme="minorEastAsia" w:hAnsi="Open Sans" w:cs="Open Sans"/>
          <w:sz w:val="24"/>
          <w:szCs w:val="24"/>
          <w:lang w:eastAsia="ru-RU"/>
        </w:rPr>
      </w:pPr>
      <w:r w:rsidRPr="00522C7F">
        <w:rPr>
          <w:rFonts w:ascii="Open Sans" w:eastAsiaTheme="minorEastAsia" w:hAnsi="Open Sans" w:cs="Open Sans"/>
          <w:sz w:val="24"/>
          <w:szCs w:val="24"/>
          <w:lang w:eastAsia="ru-RU"/>
        </w:rPr>
        <w:lastRenderedPageBreak/>
        <w:t xml:space="preserve">8) вдовы (вдовцы) лиц, указанных в пунктах 2 и 3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 погибших при исполнении ими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или умерших вследствие увечья (ранения, травмы, контузии) либо заболеваний, полученных ими при исполнении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которые после смерти супруга (супруги) не вступили в новый брак; </w:t>
      </w:r>
    </w:p>
    <w:p w:rsidR="00522C7F" w:rsidRPr="00522C7F" w:rsidRDefault="00522C7F" w:rsidP="00522C7F">
      <w:pPr>
        <w:jc w:val="both"/>
        <w:rPr>
          <w:rFonts w:ascii="Open Sans" w:eastAsiaTheme="minorEastAsia" w:hAnsi="Open Sans" w:cs="Open Sans"/>
          <w:sz w:val="24"/>
          <w:szCs w:val="24"/>
          <w:lang w:eastAsia="ru-RU"/>
        </w:rPr>
      </w:pPr>
      <w:r w:rsidRPr="00522C7F">
        <w:rPr>
          <w:rFonts w:ascii="Open Sans" w:eastAsiaTheme="minorEastAsia" w:hAnsi="Open Sans" w:cs="Open Sans"/>
          <w:sz w:val="24"/>
          <w:szCs w:val="24"/>
          <w:lang w:eastAsia="ru-RU"/>
        </w:rPr>
        <w:t xml:space="preserve">9) вдовы (вдовцы) лиц, указанных в пункте 4, погибших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w:t>
      </w:r>
      <w:r>
        <w:rPr>
          <w:rFonts w:ascii="Open Sans" w:eastAsiaTheme="minorEastAsia" w:hAnsi="Open Sans" w:cs="Open Sans"/>
          <w:sz w:val="24"/>
          <w:szCs w:val="24"/>
          <w:lang w:eastAsia="ru-RU"/>
        </w:rPr>
        <w:t xml:space="preserve">Народной Республики начиная с 11 </w:t>
      </w:r>
      <w:r w:rsidRPr="00522C7F">
        <w:rPr>
          <w:rFonts w:ascii="Open Sans" w:eastAsiaTheme="minorEastAsia" w:hAnsi="Open Sans" w:cs="Open Sans"/>
          <w:sz w:val="24"/>
          <w:szCs w:val="24"/>
          <w:lang w:eastAsia="ru-RU"/>
        </w:rPr>
        <w:t>мая 2014 года или умерших вследствие увечья (ранения, травмы, контузии) либо заболеваний, полученных ими в связи с участием в указанных боевых действиях, которые после смерти супруга (супруги) не вступили в новый брак.</w:t>
      </w:r>
    </w:p>
    <w:p w:rsidR="00522C7F" w:rsidRDefault="00522C7F" w:rsidP="00E70678">
      <w:pPr>
        <w:jc w:val="center"/>
        <w:rPr>
          <w:rFonts w:ascii="Open Sans" w:hAnsi="Open Sans" w:cs="Open Sans"/>
          <w:b/>
          <w:sz w:val="26"/>
          <w:szCs w:val="26"/>
        </w:rPr>
      </w:pPr>
    </w:p>
    <w:p w:rsidR="00522C7F" w:rsidRDefault="00522C7F" w:rsidP="00E70678">
      <w:pPr>
        <w:jc w:val="center"/>
        <w:rPr>
          <w:rFonts w:ascii="Open Sans" w:hAnsi="Open Sans" w:cs="Open Sans"/>
          <w:b/>
          <w:sz w:val="26"/>
          <w:szCs w:val="26"/>
        </w:rPr>
      </w:pPr>
    </w:p>
    <w:p w:rsidR="00522C7F" w:rsidRDefault="00522C7F" w:rsidP="00E70678">
      <w:pPr>
        <w:jc w:val="center"/>
        <w:rPr>
          <w:rFonts w:ascii="Open Sans" w:hAnsi="Open Sans" w:cs="Open Sans"/>
          <w:b/>
          <w:sz w:val="26"/>
          <w:szCs w:val="26"/>
        </w:rPr>
      </w:pPr>
    </w:p>
    <w:p w:rsidR="00522C7F" w:rsidRDefault="00522C7F" w:rsidP="00E70678">
      <w:pPr>
        <w:jc w:val="center"/>
        <w:rPr>
          <w:rFonts w:ascii="Open Sans" w:hAnsi="Open Sans" w:cs="Open Sans"/>
          <w:b/>
          <w:sz w:val="26"/>
          <w:szCs w:val="26"/>
        </w:rPr>
      </w:pPr>
    </w:p>
    <w:p w:rsidR="00522C7F" w:rsidRDefault="00522C7F" w:rsidP="00E70678">
      <w:pPr>
        <w:jc w:val="center"/>
        <w:rPr>
          <w:rFonts w:ascii="Open Sans" w:hAnsi="Open Sans" w:cs="Open Sans"/>
          <w:b/>
          <w:sz w:val="26"/>
          <w:szCs w:val="26"/>
        </w:rPr>
      </w:pPr>
    </w:p>
    <w:p w:rsidR="00520B4D" w:rsidRPr="00E70678" w:rsidRDefault="00166EA3" w:rsidP="00E70678">
      <w:pPr>
        <w:jc w:val="center"/>
        <w:rPr>
          <w:rFonts w:ascii="Open Sans" w:hAnsi="Open Sans" w:cs="Open Sans"/>
          <w:b/>
          <w:sz w:val="26"/>
          <w:szCs w:val="26"/>
        </w:rPr>
      </w:pPr>
      <w:bookmarkStart w:id="0" w:name="_GoBack"/>
      <w:bookmarkEnd w:id="0"/>
      <w:r w:rsidRPr="00E70678">
        <w:rPr>
          <w:rFonts w:ascii="Open Sans" w:hAnsi="Open Sans" w:cs="Open Sans"/>
          <w:b/>
          <w:sz w:val="26"/>
          <w:szCs w:val="26"/>
        </w:rPr>
        <w:lastRenderedPageBreak/>
        <w:t>ПРИЕМ НА МЕСТА В ПРЕДЕЛАХ ОТДЕЛЬНОЙ КВОТЫ ОСУЩЕСТВЛЯЕТСЯ:</w:t>
      </w:r>
    </w:p>
    <w:p w:rsidR="00166EA3" w:rsidRPr="00F30B5E" w:rsidRDefault="007C17E2" w:rsidP="00166EA3">
      <w:pPr>
        <w:pStyle w:val="ConsPlusNormal"/>
        <w:suppressAutoHyphens/>
        <w:jc w:val="both"/>
        <w:rPr>
          <w:rFonts w:ascii="Open Sans" w:hAnsi="Open Sans" w:cs="Open Sans"/>
          <w:b/>
          <w:color w:val="000000" w:themeColor="text1"/>
          <w:sz w:val="24"/>
          <w:szCs w:val="24"/>
        </w:rPr>
      </w:pPr>
      <w:r>
        <w:rPr>
          <w:rFonts w:ascii="Open Sans" w:hAnsi="Open Sans" w:cs="Open Sans"/>
          <w:b/>
          <w:color w:val="000000" w:themeColor="text1"/>
          <w:sz w:val="24"/>
          <w:szCs w:val="24"/>
        </w:rPr>
        <w:t>1. Б</w:t>
      </w:r>
      <w:r w:rsidR="00166EA3" w:rsidRPr="00F30B5E">
        <w:rPr>
          <w:rFonts w:ascii="Open Sans" w:hAnsi="Open Sans" w:cs="Open Sans"/>
          <w:b/>
          <w:color w:val="000000" w:themeColor="text1"/>
          <w:sz w:val="24"/>
          <w:szCs w:val="24"/>
        </w:rPr>
        <w:t xml:space="preserve">ез проведения вступительных испытаний (за исключением дополнительного вступительного испытания творческой и (или) профессиональной направленности по направлениям подготовки 42.03.05 </w:t>
      </w:r>
      <w:proofErr w:type="spellStart"/>
      <w:r w:rsidR="00166EA3" w:rsidRPr="00F30B5E">
        <w:rPr>
          <w:rFonts w:ascii="Open Sans" w:hAnsi="Open Sans" w:cs="Open Sans"/>
          <w:b/>
          <w:color w:val="000000" w:themeColor="text1"/>
          <w:sz w:val="24"/>
          <w:szCs w:val="24"/>
        </w:rPr>
        <w:t>Медиакоммуникации</w:t>
      </w:r>
      <w:proofErr w:type="spellEnd"/>
      <w:r w:rsidR="00166EA3" w:rsidRPr="00F30B5E">
        <w:rPr>
          <w:rFonts w:ascii="Open Sans" w:hAnsi="Open Sans" w:cs="Open Sans"/>
          <w:b/>
          <w:color w:val="000000" w:themeColor="text1"/>
          <w:sz w:val="24"/>
          <w:szCs w:val="24"/>
        </w:rPr>
        <w:t>, 44.03.01 Педагогическое образование, 49.00.00 Физическая культура и спорт):</w:t>
      </w:r>
    </w:p>
    <w:p w:rsidR="00933FEA" w:rsidRPr="00F30B5E" w:rsidRDefault="00933FEA" w:rsidP="00166EA3">
      <w:pPr>
        <w:pStyle w:val="ConsPlusNormal"/>
        <w:suppressAutoHyphens/>
        <w:jc w:val="both"/>
        <w:rPr>
          <w:rFonts w:ascii="Open Sans" w:hAnsi="Open Sans" w:cs="Open Sans"/>
          <w:color w:val="000000" w:themeColor="text1"/>
          <w:sz w:val="24"/>
          <w:szCs w:val="24"/>
        </w:rPr>
      </w:pPr>
    </w:p>
    <w:p w:rsidR="00166EA3" w:rsidRDefault="00166EA3" w:rsidP="00166EA3">
      <w:pPr>
        <w:widowControl w:val="0"/>
        <w:numPr>
          <w:ilvl w:val="0"/>
          <w:numId w:val="2"/>
        </w:numPr>
        <w:tabs>
          <w:tab w:val="left" w:pos="426"/>
        </w:tabs>
        <w:autoSpaceDE w:val="0"/>
        <w:autoSpaceDN w:val="0"/>
        <w:spacing w:after="0" w:line="240" w:lineRule="auto"/>
        <w:ind w:left="0" w:firstLine="0"/>
        <w:jc w:val="both"/>
        <w:rPr>
          <w:rFonts w:ascii="Open Sans" w:hAnsi="Open Sans" w:cs="Open Sans"/>
          <w:color w:val="000000" w:themeColor="text1"/>
          <w:sz w:val="24"/>
          <w:szCs w:val="24"/>
        </w:rPr>
      </w:pPr>
      <w:r w:rsidRPr="00F30B5E">
        <w:rPr>
          <w:rFonts w:ascii="Open Sans" w:hAnsi="Open Sans" w:cs="Open Sans"/>
          <w:color w:val="000000" w:themeColor="text1"/>
          <w:sz w:val="24"/>
          <w:szCs w:val="24"/>
        </w:rPr>
        <w:t>Герои Российской Федерации, лица, награжденные тремя орденами Мужества;</w:t>
      </w:r>
    </w:p>
    <w:p w:rsidR="007C17E2" w:rsidRPr="00F30B5E" w:rsidRDefault="007C17E2" w:rsidP="007C17E2">
      <w:pPr>
        <w:widowControl w:val="0"/>
        <w:tabs>
          <w:tab w:val="left" w:pos="426"/>
        </w:tabs>
        <w:autoSpaceDE w:val="0"/>
        <w:autoSpaceDN w:val="0"/>
        <w:spacing w:after="0" w:line="240" w:lineRule="auto"/>
        <w:jc w:val="both"/>
        <w:rPr>
          <w:rFonts w:ascii="Open Sans" w:hAnsi="Open Sans" w:cs="Open Sans"/>
          <w:color w:val="000000" w:themeColor="text1"/>
          <w:sz w:val="24"/>
          <w:szCs w:val="24"/>
        </w:rPr>
      </w:pPr>
    </w:p>
    <w:p w:rsidR="00F30B5E" w:rsidRDefault="00166EA3" w:rsidP="00F30B5E">
      <w:pPr>
        <w:widowControl w:val="0"/>
        <w:numPr>
          <w:ilvl w:val="0"/>
          <w:numId w:val="2"/>
        </w:numPr>
        <w:tabs>
          <w:tab w:val="left" w:pos="426"/>
        </w:tabs>
        <w:autoSpaceDE w:val="0"/>
        <w:autoSpaceDN w:val="0"/>
        <w:spacing w:after="0" w:line="240" w:lineRule="auto"/>
        <w:ind w:left="0" w:firstLine="0"/>
        <w:jc w:val="both"/>
        <w:rPr>
          <w:rFonts w:ascii="Open Sans" w:hAnsi="Open Sans" w:cs="Open Sans"/>
          <w:color w:val="000000" w:themeColor="text1"/>
          <w:sz w:val="24"/>
          <w:szCs w:val="24"/>
        </w:rPr>
      </w:pPr>
      <w:r w:rsidRPr="00F30B5E">
        <w:rPr>
          <w:rFonts w:ascii="Open Sans" w:hAnsi="Open Sans" w:cs="Open Sans"/>
          <w:color w:val="000000" w:themeColor="text1"/>
          <w:sz w:val="24"/>
          <w:szCs w:val="24"/>
        </w:rPr>
        <w:t xml:space="preserve">дети медицинских работников, умерших в результате инфицирования новой </w:t>
      </w:r>
      <w:proofErr w:type="spellStart"/>
      <w:r w:rsidRPr="00F30B5E">
        <w:rPr>
          <w:rFonts w:ascii="Open Sans" w:hAnsi="Open Sans" w:cs="Open Sans"/>
          <w:color w:val="000000" w:themeColor="text1"/>
          <w:sz w:val="24"/>
          <w:szCs w:val="24"/>
        </w:rPr>
        <w:t>коронавирусной</w:t>
      </w:r>
      <w:proofErr w:type="spellEnd"/>
      <w:r w:rsidRPr="00F30B5E">
        <w:rPr>
          <w:rFonts w:ascii="Open Sans" w:hAnsi="Open Sans" w:cs="Open Sans"/>
          <w:color w:val="000000" w:themeColor="text1"/>
          <w:sz w:val="24"/>
          <w:szCs w:val="24"/>
        </w:rPr>
        <w:t xml:space="preserve"> инфекцией (COVID-19) при исполнении ими трудовых обязанностей;</w:t>
      </w:r>
    </w:p>
    <w:p w:rsidR="007C17E2" w:rsidRPr="00F30B5E" w:rsidRDefault="007C17E2" w:rsidP="007C17E2">
      <w:pPr>
        <w:widowControl w:val="0"/>
        <w:tabs>
          <w:tab w:val="left" w:pos="426"/>
        </w:tabs>
        <w:autoSpaceDE w:val="0"/>
        <w:autoSpaceDN w:val="0"/>
        <w:spacing w:after="0" w:line="240" w:lineRule="auto"/>
        <w:jc w:val="both"/>
        <w:rPr>
          <w:rFonts w:ascii="Open Sans" w:hAnsi="Open Sans" w:cs="Open Sans"/>
          <w:color w:val="000000" w:themeColor="text1"/>
          <w:sz w:val="24"/>
          <w:szCs w:val="24"/>
        </w:rPr>
      </w:pPr>
    </w:p>
    <w:p w:rsidR="00AF58D9" w:rsidRPr="00AF58D9" w:rsidRDefault="00F30B5E" w:rsidP="00AF58D9">
      <w:pPr>
        <w:widowControl w:val="0"/>
        <w:numPr>
          <w:ilvl w:val="0"/>
          <w:numId w:val="2"/>
        </w:numPr>
        <w:tabs>
          <w:tab w:val="left" w:pos="426"/>
        </w:tabs>
        <w:autoSpaceDE w:val="0"/>
        <w:autoSpaceDN w:val="0"/>
        <w:spacing w:after="0" w:line="240" w:lineRule="auto"/>
        <w:ind w:left="0" w:firstLine="0"/>
        <w:jc w:val="both"/>
        <w:rPr>
          <w:rFonts w:ascii="Open Sans" w:hAnsi="Open Sans" w:cs="Open Sans"/>
          <w:color w:val="000000" w:themeColor="text1"/>
          <w:sz w:val="24"/>
          <w:szCs w:val="24"/>
        </w:rPr>
      </w:pPr>
      <w:r w:rsidRPr="00F30B5E">
        <w:rPr>
          <w:rFonts w:ascii="Open Sans" w:hAnsi="Open Sans" w:cs="Open Sans"/>
          <w:color w:val="000000" w:themeColor="text1"/>
          <w:sz w:val="24"/>
          <w:szCs w:val="24"/>
        </w:rPr>
        <w:t xml:space="preserve">дети лиц, указанных в пунктах 2-4 части 5.1 статьи 71 Закона об образовании, а также дети военнослужащих и </w:t>
      </w:r>
      <w:proofErr w:type="spellStart"/>
      <w:r w:rsidRPr="00F30B5E">
        <w:rPr>
          <w:rFonts w:ascii="Open Sans" w:hAnsi="Open Sans" w:cs="Open Sans"/>
          <w:color w:val="000000" w:themeColor="text1"/>
          <w:sz w:val="24"/>
          <w:szCs w:val="24"/>
        </w:rPr>
        <w:t>сотрудн</w:t>
      </w:r>
      <w:proofErr w:type="spellEnd"/>
      <w:r w:rsidRPr="00F30B5E">
        <w:rPr>
          <w:rFonts w:ascii="Open Sans" w:hAnsi="Open Sans" w:cs="Open Sans"/>
          <w:color w:val="000000" w:themeColor="text1"/>
          <w:sz w:val="24"/>
          <w:szCs w:val="24"/>
        </w:rPr>
        <w:t xml:space="preserve"> </w:t>
      </w:r>
      <w:proofErr w:type="spellStart"/>
      <w:r w:rsidRPr="00F30B5E">
        <w:rPr>
          <w:rFonts w:ascii="Open Sans" w:hAnsi="Open Sans" w:cs="Open Sans"/>
          <w:color w:val="000000" w:themeColor="text1"/>
          <w:sz w:val="24"/>
          <w:szCs w:val="24"/>
        </w:rPr>
        <w:t>иков</w:t>
      </w:r>
      <w:proofErr w:type="spellEnd"/>
      <w:r w:rsidRPr="00F30B5E">
        <w:rPr>
          <w:rFonts w:ascii="Open Sans" w:hAnsi="Open Sans" w:cs="Open Sans"/>
          <w:color w:val="000000" w:themeColor="text1"/>
          <w:sz w:val="24"/>
          <w:szCs w:val="24"/>
        </w:rPr>
        <w:t xml:space="preserve">, указанных в пункте </w:t>
      </w:r>
      <w:r w:rsidR="00AF58D9">
        <w:rPr>
          <w:rFonts w:ascii="Open Sans" w:hAnsi="Open Sans" w:cs="Open Sans"/>
          <w:color w:val="000000" w:themeColor="text1"/>
          <w:sz w:val="24"/>
          <w:szCs w:val="24"/>
        </w:rPr>
        <w:t xml:space="preserve">6 части 5.1 статьи 71 Закона </w:t>
      </w:r>
      <w:proofErr w:type="spellStart"/>
      <w:r w:rsidR="00AF58D9">
        <w:rPr>
          <w:rFonts w:ascii="Open Sans" w:hAnsi="Open Sans" w:cs="Open Sans"/>
          <w:color w:val="000000" w:themeColor="text1"/>
          <w:sz w:val="24"/>
          <w:szCs w:val="24"/>
        </w:rPr>
        <w:t>обобразов</w:t>
      </w:r>
      <w:r w:rsidRPr="00F30B5E">
        <w:rPr>
          <w:rFonts w:ascii="Open Sans" w:hAnsi="Open Sans" w:cs="Open Sans"/>
          <w:color w:val="000000" w:themeColor="text1"/>
          <w:sz w:val="24"/>
          <w:szCs w:val="24"/>
        </w:rPr>
        <w:t>ании</w:t>
      </w:r>
      <w:proofErr w:type="spellEnd"/>
      <w:r w:rsidRPr="00F30B5E">
        <w:rPr>
          <w:rFonts w:ascii="Open Sans" w:hAnsi="Open Sans" w:cs="Open Sans"/>
          <w:color w:val="000000" w:themeColor="text1"/>
          <w:sz w:val="24"/>
          <w:szCs w:val="24"/>
        </w:rPr>
        <w:t xml:space="preserve">, </w:t>
      </w:r>
      <w:r w:rsidR="00AF58D9" w:rsidRPr="00AF58D9">
        <w:rPr>
          <w:rFonts w:ascii="Open Sans" w:hAnsi="Open Sans" w:cs="Open Sans"/>
          <w:sz w:val="24"/>
          <w:szCs w:val="24"/>
        </w:rPr>
        <w:t>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w:t>
      </w:r>
    </w:p>
    <w:p w:rsidR="00AF58D9" w:rsidRPr="00F30B5E" w:rsidRDefault="00AF58D9" w:rsidP="00F30B5E">
      <w:pPr>
        <w:widowControl w:val="0"/>
        <w:tabs>
          <w:tab w:val="left" w:pos="426"/>
        </w:tabs>
        <w:autoSpaceDE w:val="0"/>
        <w:autoSpaceDN w:val="0"/>
        <w:spacing w:after="0" w:line="240" w:lineRule="auto"/>
        <w:jc w:val="both"/>
        <w:rPr>
          <w:rFonts w:ascii="Open Sans" w:hAnsi="Open Sans" w:cs="Open Sans"/>
          <w:color w:val="000000" w:themeColor="text1"/>
          <w:sz w:val="24"/>
          <w:szCs w:val="24"/>
        </w:rPr>
      </w:pPr>
    </w:p>
    <w:p w:rsidR="00F30B5E" w:rsidRPr="007C17E2" w:rsidRDefault="007C17E2" w:rsidP="007C17E2">
      <w:pPr>
        <w:widowControl w:val="0"/>
        <w:tabs>
          <w:tab w:val="left" w:pos="426"/>
        </w:tabs>
        <w:autoSpaceDE w:val="0"/>
        <w:autoSpaceDN w:val="0"/>
        <w:spacing w:after="0" w:line="240" w:lineRule="auto"/>
        <w:jc w:val="both"/>
        <w:rPr>
          <w:rFonts w:ascii="Open Sans" w:eastAsiaTheme="minorEastAsia" w:hAnsi="Open Sans" w:cs="Open Sans"/>
          <w:b/>
          <w:color w:val="000000" w:themeColor="text1"/>
          <w:sz w:val="24"/>
          <w:szCs w:val="24"/>
          <w:lang w:eastAsia="ru-RU"/>
        </w:rPr>
      </w:pPr>
      <w:r w:rsidRPr="007C17E2">
        <w:rPr>
          <w:rFonts w:ascii="Open Sans" w:eastAsiaTheme="minorEastAsia" w:hAnsi="Open Sans" w:cs="Open Sans"/>
          <w:b/>
          <w:color w:val="000000" w:themeColor="text1"/>
          <w:sz w:val="24"/>
          <w:szCs w:val="24"/>
          <w:lang w:eastAsia="ru-RU"/>
        </w:rPr>
        <w:t>2. По результатам ЕГЭ или вступительных испытаний, проводимых Университетом самостоятельно (по выбору поступающих):</w:t>
      </w:r>
    </w:p>
    <w:p w:rsidR="007C17E2" w:rsidRDefault="007C17E2" w:rsidP="00166EA3">
      <w:pPr>
        <w:pStyle w:val="ConsPlusNormal"/>
        <w:suppressAutoHyphens/>
        <w:jc w:val="both"/>
        <w:rPr>
          <w:rFonts w:ascii="Open Sans" w:hAnsi="Open Sans" w:cs="Open Sans"/>
          <w:color w:val="000000" w:themeColor="text1"/>
          <w:sz w:val="24"/>
          <w:szCs w:val="24"/>
        </w:rPr>
      </w:pPr>
    </w:p>
    <w:p w:rsidR="00520B4D" w:rsidRPr="00E70678" w:rsidRDefault="00E70678" w:rsidP="00E70678">
      <w:pPr>
        <w:pStyle w:val="a3"/>
        <w:numPr>
          <w:ilvl w:val="0"/>
          <w:numId w:val="3"/>
        </w:numPr>
        <w:tabs>
          <w:tab w:val="left" w:pos="426"/>
        </w:tabs>
        <w:spacing w:after="0" w:line="240" w:lineRule="auto"/>
        <w:ind w:left="0" w:firstLine="0"/>
        <w:jc w:val="both"/>
        <w:rPr>
          <w:rFonts w:ascii="Open Sans" w:hAnsi="Open Sans" w:cs="Open Sans"/>
          <w:sz w:val="24"/>
          <w:szCs w:val="24"/>
        </w:rPr>
      </w:pPr>
      <w:r w:rsidRPr="00E70678">
        <w:rPr>
          <w:rFonts w:ascii="Open Sans" w:hAnsi="Open Sans" w:cs="Open Sans"/>
          <w:sz w:val="24"/>
          <w:szCs w:val="24"/>
        </w:rPr>
        <w:t>иные лица, указанные в части 5.</w:t>
      </w:r>
      <w:r>
        <w:rPr>
          <w:rFonts w:ascii="Open Sans" w:hAnsi="Open Sans" w:cs="Open Sans"/>
          <w:sz w:val="24"/>
          <w:szCs w:val="24"/>
        </w:rPr>
        <w:t>1. статьи 71 Закона об образова</w:t>
      </w:r>
      <w:r w:rsidRPr="00E70678">
        <w:rPr>
          <w:rFonts w:ascii="Open Sans" w:hAnsi="Open Sans" w:cs="Open Sans"/>
          <w:sz w:val="24"/>
          <w:szCs w:val="24"/>
        </w:rPr>
        <w:t>нии.</w:t>
      </w:r>
    </w:p>
    <w:p w:rsidR="00520B4D" w:rsidRPr="00466A71" w:rsidRDefault="00520B4D" w:rsidP="00466A71">
      <w:pPr>
        <w:spacing w:after="0" w:line="240" w:lineRule="auto"/>
        <w:rPr>
          <w:rFonts w:ascii="Open Sans" w:hAnsi="Open Sans" w:cs="Open Sans"/>
          <w:color w:val="000000" w:themeColor="text1"/>
          <w:sz w:val="24"/>
          <w:szCs w:val="24"/>
        </w:rPr>
      </w:pPr>
    </w:p>
    <w:p w:rsidR="00520B4D" w:rsidRPr="00466A71" w:rsidRDefault="00520B4D" w:rsidP="00466A71">
      <w:pPr>
        <w:spacing w:after="0" w:line="240" w:lineRule="auto"/>
        <w:rPr>
          <w:rFonts w:ascii="Open Sans" w:hAnsi="Open Sans" w:cs="Open Sans"/>
          <w:color w:val="000000" w:themeColor="text1"/>
          <w:sz w:val="24"/>
          <w:szCs w:val="24"/>
        </w:rPr>
      </w:pPr>
    </w:p>
    <w:p w:rsidR="008200AE" w:rsidRDefault="008200AE" w:rsidP="00FA6E8D">
      <w:pPr>
        <w:spacing w:after="0" w:line="240" w:lineRule="auto"/>
        <w:jc w:val="center"/>
        <w:rPr>
          <w:rFonts w:ascii="Open Sans" w:hAnsi="Open Sans" w:cs="Open Sans"/>
          <w:b/>
          <w:sz w:val="26"/>
          <w:szCs w:val="26"/>
        </w:rPr>
      </w:pPr>
    </w:p>
    <w:p w:rsidR="008200AE" w:rsidRDefault="008200AE">
      <w:pPr>
        <w:rPr>
          <w:rFonts w:ascii="Open Sans" w:hAnsi="Open Sans" w:cs="Open Sans"/>
          <w:b/>
          <w:sz w:val="26"/>
          <w:szCs w:val="26"/>
        </w:rPr>
      </w:pPr>
      <w:r>
        <w:rPr>
          <w:rFonts w:ascii="Open Sans" w:hAnsi="Open Sans" w:cs="Open Sans"/>
          <w:b/>
          <w:sz w:val="26"/>
          <w:szCs w:val="26"/>
        </w:rPr>
        <w:br w:type="page"/>
      </w:r>
    </w:p>
    <w:p w:rsidR="006023D2" w:rsidRDefault="006023D2" w:rsidP="00FA6E8D">
      <w:pPr>
        <w:spacing w:after="0" w:line="240" w:lineRule="auto"/>
        <w:jc w:val="center"/>
        <w:rPr>
          <w:rFonts w:ascii="Open Sans" w:hAnsi="Open Sans" w:cs="Open Sans"/>
          <w:b/>
          <w:sz w:val="26"/>
          <w:szCs w:val="26"/>
        </w:rPr>
      </w:pPr>
      <w:r w:rsidRPr="006023D2">
        <w:rPr>
          <w:rFonts w:ascii="Open Sans" w:hAnsi="Open Sans" w:cs="Open Sans"/>
          <w:b/>
          <w:sz w:val="26"/>
          <w:szCs w:val="26"/>
        </w:rPr>
        <w:lastRenderedPageBreak/>
        <w:t xml:space="preserve">ВСТУПИТЕЛЬНЫЕ ИСПЫТАНИЯ </w:t>
      </w:r>
    </w:p>
    <w:p w:rsidR="00520B4D" w:rsidRPr="006023D2" w:rsidRDefault="006023D2" w:rsidP="00FA6E8D">
      <w:pPr>
        <w:spacing w:after="0" w:line="240" w:lineRule="auto"/>
        <w:jc w:val="center"/>
        <w:rPr>
          <w:rFonts w:ascii="Open Sans" w:hAnsi="Open Sans" w:cs="Open Sans"/>
          <w:b/>
          <w:sz w:val="26"/>
          <w:szCs w:val="26"/>
        </w:rPr>
      </w:pPr>
      <w:r w:rsidRPr="006023D2">
        <w:rPr>
          <w:rFonts w:ascii="Open Sans" w:hAnsi="Open Sans" w:cs="Open Sans"/>
          <w:b/>
          <w:sz w:val="26"/>
          <w:szCs w:val="26"/>
        </w:rPr>
        <w:t>(для поступающих на места в пределах отдельной квоты)</w:t>
      </w:r>
    </w:p>
    <w:p w:rsidR="00520B4D" w:rsidRPr="00466A71" w:rsidRDefault="00520B4D" w:rsidP="00466A71">
      <w:pPr>
        <w:spacing w:after="0" w:line="240" w:lineRule="auto"/>
        <w:rPr>
          <w:rFonts w:ascii="Open Sans" w:hAnsi="Open Sans" w:cs="Open Sans"/>
          <w:sz w:val="24"/>
          <w:szCs w:val="24"/>
        </w:rPr>
      </w:pPr>
    </w:p>
    <w:p w:rsidR="00520B4D" w:rsidRPr="00FA6E8D" w:rsidRDefault="006023D2" w:rsidP="00FA6E8D">
      <w:pPr>
        <w:spacing w:line="240" w:lineRule="auto"/>
        <w:jc w:val="both"/>
        <w:rPr>
          <w:rFonts w:ascii="Open Sans" w:hAnsi="Open Sans" w:cs="Open Sans"/>
          <w:color w:val="000000" w:themeColor="text1"/>
          <w:sz w:val="24"/>
          <w:szCs w:val="24"/>
        </w:rPr>
      </w:pPr>
      <w:r w:rsidRPr="00D44E4C">
        <w:rPr>
          <w:rFonts w:ascii="Open Sans" w:hAnsi="Open Sans" w:cs="Open Sans"/>
          <w:b/>
          <w:color w:val="000000" w:themeColor="text1"/>
          <w:sz w:val="24"/>
          <w:szCs w:val="24"/>
        </w:rPr>
        <w:t>Поступающие на базе среднего общего образования</w:t>
      </w:r>
      <w:r w:rsidRPr="00FA6E8D">
        <w:rPr>
          <w:rFonts w:ascii="Open Sans" w:hAnsi="Open Sans" w:cs="Open Sans"/>
          <w:color w:val="000000" w:themeColor="text1"/>
          <w:sz w:val="24"/>
          <w:szCs w:val="24"/>
        </w:rPr>
        <w:t xml:space="preserve"> вправе сдавать общеобразовательные ВИ или использовать ЕГЭ в качестве результатов ВИ.</w:t>
      </w:r>
    </w:p>
    <w:p w:rsidR="00520B4D" w:rsidRPr="00FA6E8D" w:rsidRDefault="006023D2" w:rsidP="00FA6E8D">
      <w:pPr>
        <w:spacing w:line="240" w:lineRule="auto"/>
        <w:jc w:val="both"/>
        <w:rPr>
          <w:rFonts w:ascii="Open Sans" w:hAnsi="Open Sans" w:cs="Open Sans"/>
          <w:color w:val="000000" w:themeColor="text1"/>
          <w:sz w:val="24"/>
          <w:szCs w:val="24"/>
        </w:rPr>
      </w:pPr>
      <w:r w:rsidRPr="00D44E4C">
        <w:rPr>
          <w:rFonts w:ascii="Open Sans" w:hAnsi="Open Sans" w:cs="Open Sans"/>
          <w:b/>
          <w:color w:val="000000" w:themeColor="text1"/>
          <w:sz w:val="24"/>
          <w:szCs w:val="24"/>
        </w:rPr>
        <w:t>Поступающие на базе профессионального образования</w:t>
      </w:r>
      <w:r w:rsidRPr="00FA6E8D">
        <w:rPr>
          <w:rFonts w:ascii="Open Sans" w:hAnsi="Open Sans" w:cs="Open Sans"/>
          <w:color w:val="000000" w:themeColor="text1"/>
          <w:sz w:val="24"/>
          <w:szCs w:val="24"/>
        </w:rPr>
        <w:t xml:space="preserve"> вправе сдавать как профильные ВИ, так и общеобразовательные ВИ и (или) использовать ЕГЭ в качестве результатов.</w:t>
      </w:r>
    </w:p>
    <w:p w:rsidR="00520B4D" w:rsidRPr="00FA6E8D" w:rsidRDefault="00520B4D" w:rsidP="00FA6E8D">
      <w:pPr>
        <w:spacing w:line="240" w:lineRule="auto"/>
        <w:jc w:val="both"/>
        <w:rPr>
          <w:rFonts w:ascii="Open Sans" w:hAnsi="Open Sans" w:cs="Open Sans"/>
          <w:color w:val="000000" w:themeColor="text1"/>
          <w:sz w:val="24"/>
          <w:szCs w:val="24"/>
        </w:rPr>
      </w:pPr>
    </w:p>
    <w:p w:rsidR="00520B4D" w:rsidRPr="00D44E4C" w:rsidRDefault="004E5A40" w:rsidP="00FA6E8D">
      <w:pPr>
        <w:spacing w:line="240" w:lineRule="auto"/>
        <w:jc w:val="both"/>
        <w:rPr>
          <w:rFonts w:ascii="Open Sans" w:hAnsi="Open Sans" w:cs="Open Sans"/>
          <w:b/>
          <w:color w:val="FF0000"/>
          <w:sz w:val="24"/>
          <w:szCs w:val="24"/>
        </w:rPr>
      </w:pPr>
      <w:r w:rsidRPr="00D44E4C">
        <w:rPr>
          <w:rFonts w:ascii="Open Sans" w:hAnsi="Open Sans" w:cs="Open Sans"/>
          <w:color w:val="FF0000"/>
          <w:sz w:val="24"/>
          <w:szCs w:val="24"/>
        </w:rPr>
        <w:t xml:space="preserve">В качестве результата ВИ </w:t>
      </w:r>
      <w:r w:rsidRPr="00D44E4C">
        <w:rPr>
          <w:rFonts w:ascii="Open Sans" w:hAnsi="Open Sans" w:cs="Open Sans"/>
          <w:b/>
          <w:color w:val="FF0000"/>
          <w:sz w:val="24"/>
          <w:szCs w:val="24"/>
        </w:rPr>
        <w:t>засчитывается наиболее высокий из результатов ВИ, которые имеются у поступающего.</w:t>
      </w:r>
    </w:p>
    <w:p w:rsidR="00520B4D" w:rsidRPr="00D44E4C" w:rsidRDefault="00520B4D" w:rsidP="00FA6E8D">
      <w:pPr>
        <w:spacing w:line="240" w:lineRule="auto"/>
        <w:jc w:val="both"/>
        <w:rPr>
          <w:rFonts w:ascii="Open Sans" w:hAnsi="Open Sans" w:cs="Open Sans"/>
          <w:color w:val="FF0000"/>
          <w:sz w:val="24"/>
          <w:szCs w:val="24"/>
        </w:rPr>
      </w:pPr>
    </w:p>
    <w:p w:rsidR="00520B4D" w:rsidRPr="009B651D" w:rsidRDefault="00520B4D" w:rsidP="009B651D"/>
    <w:p w:rsidR="00520B4D" w:rsidRPr="009B651D" w:rsidRDefault="00520B4D" w:rsidP="009B651D"/>
    <w:p w:rsidR="00520B4D" w:rsidRPr="009B651D" w:rsidRDefault="00520B4D" w:rsidP="009B651D"/>
    <w:p w:rsidR="00520B4D" w:rsidRPr="009B651D" w:rsidRDefault="00520B4D" w:rsidP="009B651D"/>
    <w:p w:rsidR="00520B4D" w:rsidRPr="009B651D" w:rsidRDefault="00520B4D" w:rsidP="009B651D"/>
    <w:p w:rsidR="00520B4D" w:rsidRPr="009B651D" w:rsidRDefault="00520B4D" w:rsidP="009B651D"/>
    <w:p w:rsidR="00520B4D" w:rsidRPr="009B651D" w:rsidRDefault="00520B4D" w:rsidP="009B651D"/>
    <w:p w:rsidR="00520B4D" w:rsidRPr="009B651D" w:rsidRDefault="00520B4D" w:rsidP="009B651D"/>
    <w:p w:rsidR="00520B4D" w:rsidRPr="009B651D" w:rsidRDefault="00520B4D" w:rsidP="009B651D"/>
    <w:p w:rsidR="00466A71" w:rsidRDefault="00466A71">
      <w:pPr>
        <w:rPr>
          <w:rFonts w:ascii="Open Sans" w:hAnsi="Open Sans" w:cs="Open Sans"/>
          <w:b/>
          <w:sz w:val="26"/>
          <w:szCs w:val="26"/>
        </w:rPr>
      </w:pPr>
      <w:r>
        <w:rPr>
          <w:rFonts w:ascii="Open Sans" w:hAnsi="Open Sans" w:cs="Open Sans"/>
          <w:b/>
          <w:sz w:val="26"/>
          <w:szCs w:val="26"/>
        </w:rPr>
        <w:br w:type="page"/>
      </w:r>
    </w:p>
    <w:p w:rsidR="00520B4D" w:rsidRPr="0035605F" w:rsidRDefault="0035605F" w:rsidP="0035605F">
      <w:pPr>
        <w:jc w:val="center"/>
        <w:rPr>
          <w:rFonts w:ascii="Open Sans" w:hAnsi="Open Sans" w:cs="Open Sans"/>
          <w:b/>
          <w:sz w:val="26"/>
          <w:szCs w:val="26"/>
        </w:rPr>
      </w:pPr>
      <w:r w:rsidRPr="0035605F">
        <w:rPr>
          <w:rFonts w:ascii="Open Sans" w:hAnsi="Open Sans" w:cs="Open Sans"/>
          <w:b/>
          <w:sz w:val="26"/>
          <w:szCs w:val="26"/>
        </w:rPr>
        <w:lastRenderedPageBreak/>
        <w:t>ПРИМЕРНАЯ ФОРМ</w:t>
      </w:r>
      <w:r>
        <w:rPr>
          <w:rFonts w:ascii="Open Sans" w:hAnsi="Open Sans" w:cs="Open Sans"/>
          <w:b/>
          <w:sz w:val="26"/>
          <w:szCs w:val="26"/>
        </w:rPr>
        <w:t xml:space="preserve">А СПРАВКИ, ПОДТВЕРЖДАЮЩЕЙ ПРАВО </w:t>
      </w:r>
      <w:r w:rsidRPr="0035605F">
        <w:rPr>
          <w:rFonts w:ascii="Open Sans" w:hAnsi="Open Sans" w:cs="Open Sans"/>
          <w:b/>
          <w:sz w:val="26"/>
          <w:szCs w:val="26"/>
        </w:rPr>
        <w:t>ПОСТУПЛЕНИЯ НА МЕСТА В ПРЕДЕЛАХ ОТДЕЛЬНОЙ КВОТЫ</w:t>
      </w:r>
    </w:p>
    <w:p w:rsidR="00100E0F" w:rsidRPr="003D3EA4" w:rsidRDefault="00100E0F" w:rsidP="00100E0F">
      <w:pPr>
        <w:pStyle w:val="ConsPlusNormal"/>
        <w:jc w:val="both"/>
        <w:rPr>
          <w:rFonts w:ascii="Open Sans" w:hAnsi="Open Sans" w:cs="Open Sans"/>
        </w:rPr>
      </w:pPr>
    </w:p>
    <w:p w:rsidR="00100E0F" w:rsidRPr="003D3EA4" w:rsidRDefault="00100E0F" w:rsidP="00100E0F">
      <w:pPr>
        <w:pStyle w:val="ConsPlusNormal"/>
        <w:jc w:val="both"/>
        <w:rPr>
          <w:rFonts w:ascii="Open Sans" w:hAnsi="Open Sans" w:cs="Open Sans"/>
        </w:rPr>
      </w:pPr>
    </w:p>
    <w:p w:rsidR="00100E0F" w:rsidRPr="003D3EA4" w:rsidRDefault="00100E0F" w:rsidP="00100E0F">
      <w:pPr>
        <w:pStyle w:val="ConsPlusNormal"/>
        <w:jc w:val="both"/>
        <w:rPr>
          <w:rFonts w:ascii="Open Sans" w:hAnsi="Open Sans" w:cs="Open Sans"/>
        </w:rPr>
      </w:pPr>
    </w:p>
    <w:p w:rsidR="00100E0F" w:rsidRDefault="00100E0F" w:rsidP="00100E0F">
      <w:pPr>
        <w:pStyle w:val="ConsPlusNormal"/>
        <w:jc w:val="right"/>
        <w:outlineLvl w:val="1"/>
      </w:pPr>
      <w:r>
        <w:t>Приложение</w:t>
      </w:r>
    </w:p>
    <w:p w:rsidR="00100E0F" w:rsidRDefault="00100E0F" w:rsidP="00100E0F">
      <w:pPr>
        <w:pStyle w:val="ConsPlusNormal"/>
        <w:jc w:val="right"/>
      </w:pPr>
      <w:r>
        <w:t>к методическим рекомендациям</w:t>
      </w:r>
    </w:p>
    <w:p w:rsidR="00100E0F" w:rsidRDefault="00100E0F" w:rsidP="00100E0F">
      <w:pPr>
        <w:pStyle w:val="ConsPlusNormal"/>
        <w:jc w:val="right"/>
      </w:pPr>
      <w:r>
        <w:t>по организации приема на обучение</w:t>
      </w:r>
    </w:p>
    <w:p w:rsidR="00100E0F" w:rsidRDefault="00100E0F" w:rsidP="00100E0F">
      <w:pPr>
        <w:pStyle w:val="ConsPlusNormal"/>
        <w:jc w:val="right"/>
      </w:pPr>
      <w:r>
        <w:t xml:space="preserve">по программам </w:t>
      </w:r>
      <w:proofErr w:type="spellStart"/>
      <w:r>
        <w:t>бакалавриата</w:t>
      </w:r>
      <w:proofErr w:type="spellEnd"/>
      <w:r>
        <w:t>,</w:t>
      </w:r>
    </w:p>
    <w:p w:rsidR="00100E0F" w:rsidRDefault="00100E0F" w:rsidP="00100E0F">
      <w:pPr>
        <w:pStyle w:val="ConsPlusNormal"/>
        <w:jc w:val="right"/>
      </w:pPr>
      <w:r>
        <w:t>программам специалитета на места</w:t>
      </w:r>
    </w:p>
    <w:p w:rsidR="00100E0F" w:rsidRDefault="00100E0F" w:rsidP="00100E0F">
      <w:pPr>
        <w:pStyle w:val="ConsPlusNormal"/>
        <w:jc w:val="right"/>
      </w:pPr>
      <w:r>
        <w:t>в пределах отдельной квоты</w:t>
      </w:r>
    </w:p>
    <w:p w:rsidR="00100E0F" w:rsidRDefault="00100E0F" w:rsidP="00100E0F">
      <w:pPr>
        <w:pStyle w:val="ConsPlusNormal"/>
        <w:jc w:val="both"/>
      </w:pPr>
    </w:p>
    <w:p w:rsidR="00100E0F" w:rsidRDefault="00100E0F" w:rsidP="00100E0F">
      <w:pPr>
        <w:pStyle w:val="ConsPlusNormal"/>
        <w:jc w:val="right"/>
      </w:pPr>
      <w:r>
        <w:t>Примерная форма</w:t>
      </w:r>
    </w:p>
    <w:p w:rsidR="00100E0F" w:rsidRDefault="00100E0F" w:rsidP="00100E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90"/>
      </w:tblGrid>
      <w:tr w:rsidR="00100E0F" w:rsidTr="00671779">
        <w:tc>
          <w:tcPr>
            <w:tcW w:w="1890" w:type="dxa"/>
            <w:tcBorders>
              <w:top w:val="nil"/>
              <w:left w:val="nil"/>
              <w:bottom w:val="nil"/>
              <w:right w:val="nil"/>
            </w:tcBorders>
          </w:tcPr>
          <w:p w:rsidR="00100E0F" w:rsidRDefault="00100E0F" w:rsidP="00671779">
            <w:pPr>
              <w:pStyle w:val="ConsPlusNormal"/>
            </w:pPr>
            <w:r>
              <w:t>Угловой штамп организации</w:t>
            </w:r>
          </w:p>
        </w:tc>
      </w:tr>
    </w:tbl>
    <w:p w:rsidR="00100E0F" w:rsidRDefault="00100E0F" w:rsidP="00100E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100E0F" w:rsidTr="00671779">
        <w:tc>
          <w:tcPr>
            <w:tcW w:w="9060" w:type="dxa"/>
            <w:tcBorders>
              <w:top w:val="nil"/>
              <w:left w:val="nil"/>
              <w:bottom w:val="nil"/>
              <w:right w:val="nil"/>
            </w:tcBorders>
          </w:tcPr>
          <w:p w:rsidR="00100E0F" w:rsidRDefault="00100E0F" w:rsidP="00671779">
            <w:pPr>
              <w:pStyle w:val="ConsPlusNormal"/>
              <w:jc w:val="center"/>
            </w:pPr>
            <w:bookmarkStart w:id="1" w:name="P178"/>
            <w:bookmarkEnd w:id="1"/>
            <w:r>
              <w:t>СПРАВКА</w:t>
            </w:r>
          </w:p>
        </w:tc>
      </w:tr>
    </w:tbl>
    <w:p w:rsidR="00100E0F" w:rsidRDefault="00100E0F" w:rsidP="00100E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9"/>
        <w:gridCol w:w="7711"/>
      </w:tblGrid>
      <w:tr w:rsidR="00100E0F" w:rsidTr="00671779">
        <w:tc>
          <w:tcPr>
            <w:tcW w:w="1349" w:type="dxa"/>
            <w:tcBorders>
              <w:top w:val="nil"/>
              <w:left w:val="nil"/>
              <w:bottom w:val="nil"/>
              <w:right w:val="nil"/>
            </w:tcBorders>
            <w:vAlign w:val="bottom"/>
          </w:tcPr>
          <w:p w:rsidR="00100E0F" w:rsidRDefault="00100E0F" w:rsidP="00671779">
            <w:pPr>
              <w:pStyle w:val="ConsPlusNormal"/>
              <w:ind w:firstLine="283"/>
              <w:jc w:val="both"/>
            </w:pPr>
            <w:r>
              <w:t>Выдана</w:t>
            </w:r>
          </w:p>
        </w:tc>
        <w:tc>
          <w:tcPr>
            <w:tcW w:w="7711" w:type="dxa"/>
            <w:tcBorders>
              <w:top w:val="nil"/>
              <w:left w:val="nil"/>
              <w:bottom w:val="single" w:sz="4" w:space="0" w:color="auto"/>
              <w:right w:val="nil"/>
            </w:tcBorders>
          </w:tcPr>
          <w:p w:rsidR="00100E0F" w:rsidRDefault="00100E0F" w:rsidP="00671779">
            <w:pPr>
              <w:pStyle w:val="ConsPlusNormal"/>
            </w:pPr>
          </w:p>
        </w:tc>
      </w:tr>
      <w:tr w:rsidR="00100E0F" w:rsidTr="00671779">
        <w:tc>
          <w:tcPr>
            <w:tcW w:w="9060" w:type="dxa"/>
            <w:gridSpan w:val="2"/>
            <w:tcBorders>
              <w:top w:val="nil"/>
              <w:left w:val="nil"/>
              <w:bottom w:val="single" w:sz="4" w:space="0" w:color="auto"/>
              <w:right w:val="nil"/>
            </w:tcBorders>
          </w:tcPr>
          <w:p w:rsidR="00100E0F" w:rsidRDefault="00100E0F" w:rsidP="00671779">
            <w:pPr>
              <w:pStyle w:val="ConsPlusNormal"/>
            </w:pPr>
          </w:p>
        </w:tc>
      </w:tr>
      <w:tr w:rsidR="00100E0F" w:rsidTr="00671779">
        <w:tc>
          <w:tcPr>
            <w:tcW w:w="9060" w:type="dxa"/>
            <w:gridSpan w:val="2"/>
            <w:tcBorders>
              <w:top w:val="single" w:sz="4" w:space="0" w:color="auto"/>
              <w:left w:val="nil"/>
              <w:bottom w:val="nil"/>
              <w:right w:val="nil"/>
            </w:tcBorders>
          </w:tcPr>
          <w:p w:rsidR="00100E0F" w:rsidRDefault="00100E0F" w:rsidP="00671779">
            <w:pPr>
              <w:pStyle w:val="ConsPlusNormal"/>
              <w:jc w:val="center"/>
            </w:pPr>
            <w:r>
              <w:t>фамилия, имя, отчество (при наличии), дата рождения</w:t>
            </w:r>
          </w:p>
        </w:tc>
      </w:tr>
      <w:tr w:rsidR="00100E0F" w:rsidTr="00671779">
        <w:tc>
          <w:tcPr>
            <w:tcW w:w="9060" w:type="dxa"/>
            <w:gridSpan w:val="2"/>
            <w:tcBorders>
              <w:top w:val="nil"/>
              <w:left w:val="nil"/>
              <w:bottom w:val="nil"/>
              <w:right w:val="nil"/>
            </w:tcBorders>
          </w:tcPr>
          <w:p w:rsidR="00100E0F" w:rsidRDefault="00100E0F" w:rsidP="00671779">
            <w:pPr>
              <w:pStyle w:val="ConsPlusNormal"/>
              <w:jc w:val="both"/>
            </w:pPr>
            <w:r>
              <w:t xml:space="preserve">в том, что он (она) имеет право на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p>
          <w:p w:rsidR="00100E0F" w:rsidRDefault="00100E0F" w:rsidP="00671779">
            <w:pPr>
              <w:pStyle w:val="ConsPlusNormal"/>
              <w:jc w:val="both"/>
            </w:pPr>
          </w:p>
          <w:p w:rsidR="00100E0F" w:rsidRDefault="00100E0F" w:rsidP="00671779">
            <w:pPr>
              <w:pStyle w:val="ConsPlusNormal"/>
              <w:jc w:val="both"/>
            </w:pPr>
            <w:r>
              <w:t xml:space="preserve">без проведения вступительных испытаний (за исключением дополнительных вступительных испытаний творческой и (или) профессиональной направленности) (в соответствии с первым предложением </w:t>
            </w:r>
            <w:hyperlink r:id="rId5">
              <w:r>
                <w:rPr>
                  <w:color w:val="0000FF"/>
                </w:rPr>
                <w:t>части 5.2 статьи 71</w:t>
              </w:r>
            </w:hyperlink>
            <w:r>
              <w:t xml:space="preserve"> Федерального закона от 29 декабря 2012 г. N 273-ФЗ "Об образовании в Российской Федерации")/</w:t>
            </w:r>
          </w:p>
          <w:p w:rsidR="00100E0F" w:rsidRDefault="00100E0F" w:rsidP="00671779">
            <w:pPr>
              <w:pStyle w:val="ConsPlusNormal"/>
              <w:jc w:val="both"/>
            </w:pPr>
          </w:p>
          <w:p w:rsidR="00100E0F" w:rsidRDefault="00100E0F" w:rsidP="00671779">
            <w:pPr>
              <w:pStyle w:val="ConsPlusNormal"/>
              <w:jc w:val="both"/>
            </w:pPr>
            <w:r>
              <w:t xml:space="preserve">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поступающего (в соответствии со вторым предложением </w:t>
            </w:r>
            <w:hyperlink r:id="rId6">
              <w:r>
                <w:rPr>
                  <w:color w:val="0000FF"/>
                </w:rPr>
                <w:t>части 5.2 статьи 71</w:t>
              </w:r>
            </w:hyperlink>
            <w:r>
              <w:t xml:space="preserve"> Федерального закона от 29 декабря 2012 г. N 273-ФЗ "Об образовании в Российской Федерации") (выбрать нужное).</w:t>
            </w:r>
          </w:p>
        </w:tc>
      </w:tr>
      <w:tr w:rsidR="00100E0F" w:rsidTr="00671779">
        <w:tc>
          <w:tcPr>
            <w:tcW w:w="9060" w:type="dxa"/>
            <w:gridSpan w:val="2"/>
            <w:tcBorders>
              <w:top w:val="nil"/>
              <w:left w:val="nil"/>
              <w:bottom w:val="nil"/>
              <w:right w:val="nil"/>
            </w:tcBorders>
          </w:tcPr>
          <w:p w:rsidR="00100E0F" w:rsidRDefault="00100E0F" w:rsidP="00671779">
            <w:pPr>
              <w:pStyle w:val="ConsPlusNormal"/>
              <w:ind w:firstLine="283"/>
              <w:jc w:val="both"/>
            </w:pPr>
            <w:r>
              <w:t>Справка выдана для представления в образовательные организации высшего образования.</w:t>
            </w:r>
          </w:p>
        </w:tc>
      </w:tr>
    </w:tbl>
    <w:p w:rsidR="00100E0F" w:rsidRDefault="00100E0F" w:rsidP="00100E0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35"/>
        <w:gridCol w:w="434"/>
        <w:gridCol w:w="1411"/>
        <w:gridCol w:w="340"/>
        <w:gridCol w:w="2840"/>
      </w:tblGrid>
      <w:tr w:rsidR="00100E0F" w:rsidTr="00671779">
        <w:tc>
          <w:tcPr>
            <w:tcW w:w="4035" w:type="dxa"/>
            <w:tcBorders>
              <w:top w:val="nil"/>
              <w:left w:val="nil"/>
              <w:bottom w:val="single" w:sz="4" w:space="0" w:color="auto"/>
              <w:right w:val="nil"/>
            </w:tcBorders>
          </w:tcPr>
          <w:p w:rsidR="00100E0F" w:rsidRDefault="00100E0F" w:rsidP="00671779">
            <w:pPr>
              <w:pStyle w:val="ConsPlusNormal"/>
            </w:pPr>
          </w:p>
        </w:tc>
        <w:tc>
          <w:tcPr>
            <w:tcW w:w="434" w:type="dxa"/>
            <w:tcBorders>
              <w:top w:val="nil"/>
              <w:left w:val="nil"/>
              <w:bottom w:val="nil"/>
              <w:right w:val="nil"/>
            </w:tcBorders>
          </w:tcPr>
          <w:p w:rsidR="00100E0F" w:rsidRDefault="00100E0F" w:rsidP="00671779">
            <w:pPr>
              <w:pStyle w:val="ConsPlusNormal"/>
            </w:pPr>
          </w:p>
        </w:tc>
        <w:tc>
          <w:tcPr>
            <w:tcW w:w="1411" w:type="dxa"/>
            <w:tcBorders>
              <w:top w:val="nil"/>
              <w:left w:val="nil"/>
              <w:bottom w:val="single" w:sz="4" w:space="0" w:color="auto"/>
              <w:right w:val="nil"/>
            </w:tcBorders>
          </w:tcPr>
          <w:p w:rsidR="00100E0F" w:rsidRDefault="00100E0F" w:rsidP="00671779">
            <w:pPr>
              <w:pStyle w:val="ConsPlusNormal"/>
            </w:pPr>
          </w:p>
        </w:tc>
        <w:tc>
          <w:tcPr>
            <w:tcW w:w="340" w:type="dxa"/>
            <w:tcBorders>
              <w:top w:val="nil"/>
              <w:left w:val="nil"/>
              <w:bottom w:val="nil"/>
              <w:right w:val="nil"/>
            </w:tcBorders>
          </w:tcPr>
          <w:p w:rsidR="00100E0F" w:rsidRDefault="00100E0F" w:rsidP="00671779">
            <w:pPr>
              <w:pStyle w:val="ConsPlusNormal"/>
            </w:pPr>
          </w:p>
        </w:tc>
        <w:tc>
          <w:tcPr>
            <w:tcW w:w="2840" w:type="dxa"/>
            <w:tcBorders>
              <w:top w:val="nil"/>
              <w:left w:val="nil"/>
              <w:bottom w:val="single" w:sz="4" w:space="0" w:color="auto"/>
              <w:right w:val="nil"/>
            </w:tcBorders>
          </w:tcPr>
          <w:p w:rsidR="00100E0F" w:rsidRDefault="00100E0F" w:rsidP="00671779">
            <w:pPr>
              <w:pStyle w:val="ConsPlusNormal"/>
            </w:pPr>
          </w:p>
        </w:tc>
      </w:tr>
      <w:tr w:rsidR="00100E0F" w:rsidTr="00671779">
        <w:tblPrEx>
          <w:tblBorders>
            <w:insideH w:val="none" w:sz="0" w:space="0" w:color="auto"/>
          </w:tblBorders>
        </w:tblPrEx>
        <w:tc>
          <w:tcPr>
            <w:tcW w:w="4035" w:type="dxa"/>
            <w:vMerge w:val="restart"/>
            <w:tcBorders>
              <w:top w:val="single" w:sz="4" w:space="0" w:color="auto"/>
              <w:left w:val="nil"/>
              <w:bottom w:val="nil"/>
              <w:right w:val="nil"/>
            </w:tcBorders>
          </w:tcPr>
          <w:p w:rsidR="00100E0F" w:rsidRDefault="00100E0F" w:rsidP="00671779">
            <w:pPr>
              <w:pStyle w:val="ConsPlusNormal"/>
              <w:jc w:val="center"/>
            </w:pPr>
            <w:r>
              <w:t>должность должностного лица, наименование органа, выдавшего справку</w:t>
            </w:r>
          </w:p>
        </w:tc>
        <w:tc>
          <w:tcPr>
            <w:tcW w:w="434" w:type="dxa"/>
            <w:vMerge w:val="restart"/>
            <w:tcBorders>
              <w:top w:val="nil"/>
              <w:left w:val="nil"/>
              <w:bottom w:val="nil"/>
              <w:right w:val="nil"/>
            </w:tcBorders>
          </w:tcPr>
          <w:p w:rsidR="00100E0F" w:rsidRDefault="00100E0F" w:rsidP="00671779">
            <w:pPr>
              <w:pStyle w:val="ConsPlusNormal"/>
            </w:pPr>
          </w:p>
        </w:tc>
        <w:tc>
          <w:tcPr>
            <w:tcW w:w="1411" w:type="dxa"/>
            <w:tcBorders>
              <w:top w:val="single" w:sz="4" w:space="0" w:color="auto"/>
              <w:left w:val="nil"/>
              <w:bottom w:val="nil"/>
              <w:right w:val="nil"/>
            </w:tcBorders>
          </w:tcPr>
          <w:p w:rsidR="00100E0F" w:rsidRDefault="00100E0F" w:rsidP="00671779">
            <w:pPr>
              <w:pStyle w:val="ConsPlusNormal"/>
              <w:jc w:val="center"/>
            </w:pPr>
            <w:r>
              <w:t>подпись</w:t>
            </w:r>
          </w:p>
        </w:tc>
        <w:tc>
          <w:tcPr>
            <w:tcW w:w="340" w:type="dxa"/>
            <w:vMerge w:val="restart"/>
            <w:tcBorders>
              <w:top w:val="nil"/>
              <w:left w:val="nil"/>
              <w:bottom w:val="nil"/>
              <w:right w:val="nil"/>
            </w:tcBorders>
          </w:tcPr>
          <w:p w:rsidR="00100E0F" w:rsidRDefault="00100E0F" w:rsidP="00671779">
            <w:pPr>
              <w:pStyle w:val="ConsPlusNormal"/>
            </w:pPr>
          </w:p>
        </w:tc>
        <w:tc>
          <w:tcPr>
            <w:tcW w:w="2840" w:type="dxa"/>
            <w:vMerge w:val="restart"/>
            <w:tcBorders>
              <w:top w:val="single" w:sz="4" w:space="0" w:color="auto"/>
              <w:left w:val="nil"/>
              <w:bottom w:val="nil"/>
              <w:right w:val="nil"/>
            </w:tcBorders>
          </w:tcPr>
          <w:p w:rsidR="00100E0F" w:rsidRDefault="00100E0F" w:rsidP="00671779">
            <w:pPr>
              <w:pStyle w:val="ConsPlusNormal"/>
              <w:jc w:val="center"/>
            </w:pPr>
            <w:r>
              <w:t>фамилия, имя, отчество должностного лица</w:t>
            </w:r>
          </w:p>
        </w:tc>
      </w:tr>
      <w:tr w:rsidR="00100E0F" w:rsidTr="00671779">
        <w:tblPrEx>
          <w:tblBorders>
            <w:insideH w:val="none" w:sz="0" w:space="0" w:color="auto"/>
          </w:tblBorders>
        </w:tblPrEx>
        <w:trPr>
          <w:trHeight w:val="269"/>
        </w:trPr>
        <w:tc>
          <w:tcPr>
            <w:tcW w:w="4035" w:type="dxa"/>
            <w:vMerge/>
            <w:tcBorders>
              <w:top w:val="single" w:sz="4" w:space="0" w:color="auto"/>
              <w:left w:val="nil"/>
              <w:bottom w:val="nil"/>
              <w:right w:val="nil"/>
            </w:tcBorders>
          </w:tcPr>
          <w:p w:rsidR="00100E0F" w:rsidRDefault="00100E0F" w:rsidP="00671779">
            <w:pPr>
              <w:pStyle w:val="ConsPlusNormal"/>
            </w:pPr>
          </w:p>
        </w:tc>
        <w:tc>
          <w:tcPr>
            <w:tcW w:w="434" w:type="dxa"/>
            <w:vMerge/>
            <w:tcBorders>
              <w:top w:val="nil"/>
              <w:left w:val="nil"/>
              <w:bottom w:val="nil"/>
              <w:right w:val="nil"/>
            </w:tcBorders>
          </w:tcPr>
          <w:p w:rsidR="00100E0F" w:rsidRDefault="00100E0F" w:rsidP="00671779">
            <w:pPr>
              <w:pStyle w:val="ConsPlusNormal"/>
            </w:pPr>
          </w:p>
        </w:tc>
        <w:tc>
          <w:tcPr>
            <w:tcW w:w="1411" w:type="dxa"/>
            <w:vMerge w:val="restart"/>
            <w:tcBorders>
              <w:top w:val="nil"/>
              <w:left w:val="nil"/>
              <w:bottom w:val="nil"/>
              <w:right w:val="nil"/>
            </w:tcBorders>
          </w:tcPr>
          <w:p w:rsidR="00100E0F" w:rsidRDefault="00100E0F" w:rsidP="00671779">
            <w:pPr>
              <w:pStyle w:val="ConsPlusNormal"/>
              <w:jc w:val="center"/>
            </w:pPr>
            <w:r>
              <w:t>М.П.</w:t>
            </w:r>
          </w:p>
        </w:tc>
        <w:tc>
          <w:tcPr>
            <w:tcW w:w="340" w:type="dxa"/>
            <w:vMerge/>
            <w:tcBorders>
              <w:top w:val="nil"/>
              <w:left w:val="nil"/>
              <w:bottom w:val="nil"/>
              <w:right w:val="nil"/>
            </w:tcBorders>
          </w:tcPr>
          <w:p w:rsidR="00100E0F" w:rsidRDefault="00100E0F" w:rsidP="00671779">
            <w:pPr>
              <w:pStyle w:val="ConsPlusNormal"/>
            </w:pPr>
          </w:p>
        </w:tc>
        <w:tc>
          <w:tcPr>
            <w:tcW w:w="2840" w:type="dxa"/>
            <w:vMerge/>
            <w:tcBorders>
              <w:top w:val="single" w:sz="4" w:space="0" w:color="auto"/>
              <w:left w:val="nil"/>
              <w:bottom w:val="nil"/>
              <w:right w:val="nil"/>
            </w:tcBorders>
          </w:tcPr>
          <w:p w:rsidR="00100E0F" w:rsidRDefault="00100E0F" w:rsidP="00671779">
            <w:pPr>
              <w:pStyle w:val="ConsPlusNormal"/>
            </w:pPr>
          </w:p>
        </w:tc>
      </w:tr>
      <w:tr w:rsidR="00100E0F" w:rsidTr="00671779">
        <w:tblPrEx>
          <w:tblBorders>
            <w:insideH w:val="none" w:sz="0" w:space="0" w:color="auto"/>
          </w:tblBorders>
        </w:tblPrEx>
        <w:tc>
          <w:tcPr>
            <w:tcW w:w="4035" w:type="dxa"/>
            <w:tcBorders>
              <w:top w:val="nil"/>
              <w:left w:val="nil"/>
              <w:bottom w:val="nil"/>
              <w:right w:val="nil"/>
            </w:tcBorders>
          </w:tcPr>
          <w:p w:rsidR="00100E0F" w:rsidRDefault="00100E0F" w:rsidP="00671779">
            <w:pPr>
              <w:pStyle w:val="ConsPlusNormal"/>
            </w:pPr>
          </w:p>
        </w:tc>
        <w:tc>
          <w:tcPr>
            <w:tcW w:w="434" w:type="dxa"/>
            <w:tcBorders>
              <w:top w:val="nil"/>
              <w:left w:val="nil"/>
              <w:bottom w:val="nil"/>
              <w:right w:val="nil"/>
            </w:tcBorders>
          </w:tcPr>
          <w:p w:rsidR="00100E0F" w:rsidRDefault="00100E0F" w:rsidP="00671779">
            <w:pPr>
              <w:pStyle w:val="ConsPlusNormal"/>
            </w:pPr>
          </w:p>
        </w:tc>
        <w:tc>
          <w:tcPr>
            <w:tcW w:w="1411" w:type="dxa"/>
            <w:vMerge/>
            <w:tcBorders>
              <w:top w:val="nil"/>
              <w:left w:val="nil"/>
              <w:bottom w:val="nil"/>
              <w:right w:val="nil"/>
            </w:tcBorders>
          </w:tcPr>
          <w:p w:rsidR="00100E0F" w:rsidRDefault="00100E0F" w:rsidP="00671779">
            <w:pPr>
              <w:pStyle w:val="ConsPlusNormal"/>
            </w:pPr>
          </w:p>
        </w:tc>
        <w:tc>
          <w:tcPr>
            <w:tcW w:w="340" w:type="dxa"/>
            <w:tcBorders>
              <w:top w:val="nil"/>
              <w:left w:val="nil"/>
              <w:bottom w:val="nil"/>
              <w:right w:val="nil"/>
            </w:tcBorders>
          </w:tcPr>
          <w:p w:rsidR="00100E0F" w:rsidRDefault="00100E0F" w:rsidP="00671779">
            <w:pPr>
              <w:pStyle w:val="ConsPlusNormal"/>
            </w:pPr>
          </w:p>
        </w:tc>
        <w:tc>
          <w:tcPr>
            <w:tcW w:w="2840" w:type="dxa"/>
            <w:tcBorders>
              <w:top w:val="nil"/>
              <w:left w:val="nil"/>
              <w:bottom w:val="nil"/>
              <w:right w:val="nil"/>
            </w:tcBorders>
          </w:tcPr>
          <w:p w:rsidR="00100E0F" w:rsidRDefault="00100E0F" w:rsidP="00671779">
            <w:pPr>
              <w:pStyle w:val="ConsPlusNormal"/>
            </w:pPr>
          </w:p>
        </w:tc>
      </w:tr>
    </w:tbl>
    <w:p w:rsidR="00FD528A" w:rsidRDefault="00ED6B83"/>
    <w:p w:rsidR="00466A71" w:rsidRDefault="00466A71"/>
    <w:p w:rsidR="00466A71" w:rsidRDefault="00214E5F" w:rsidP="00214E5F">
      <w:pPr>
        <w:jc w:val="center"/>
        <w:rPr>
          <w:rFonts w:ascii="Open Sans" w:hAnsi="Open Sans" w:cs="Open Sans"/>
          <w:b/>
          <w:sz w:val="26"/>
          <w:szCs w:val="26"/>
        </w:rPr>
      </w:pPr>
      <w:r w:rsidRPr="00214E5F">
        <w:rPr>
          <w:rFonts w:ascii="Open Sans" w:hAnsi="Open Sans" w:cs="Open Sans"/>
          <w:b/>
          <w:sz w:val="26"/>
          <w:szCs w:val="26"/>
        </w:rPr>
        <w:lastRenderedPageBreak/>
        <w:t>ТРЕБОВАНИЯ К СПРАВКЕ, ПОДТВЕРЖДАЮЩЕЙ ПРАВО ПОСТУПЛЕНИЯ НА МЕСТА В ПРЕДЕЛАХ ОТДЕЛЬНОЙ КВОТЫ</w:t>
      </w:r>
    </w:p>
    <w:p w:rsidR="00214E5F" w:rsidRDefault="00214E5F" w:rsidP="00214E5F">
      <w:pPr>
        <w:spacing w:after="0" w:line="240" w:lineRule="auto"/>
        <w:ind w:firstLine="709"/>
        <w:jc w:val="both"/>
        <w:rPr>
          <w:rFonts w:ascii="Open Sans" w:hAnsi="Open Sans" w:cs="Open Sans"/>
          <w:color w:val="FF0000"/>
          <w:sz w:val="24"/>
          <w:szCs w:val="24"/>
        </w:rPr>
      </w:pPr>
      <w:r w:rsidRPr="00214E5F">
        <w:rPr>
          <w:rFonts w:ascii="Open Sans" w:hAnsi="Open Sans" w:cs="Open Sans"/>
          <w:b/>
          <w:color w:val="FF0000"/>
          <w:sz w:val="24"/>
          <w:szCs w:val="24"/>
        </w:rPr>
        <w:t>Важно!</w:t>
      </w:r>
      <w:r w:rsidRPr="00214E5F">
        <w:rPr>
          <w:rFonts w:ascii="Open Sans" w:hAnsi="Open Sans" w:cs="Open Sans"/>
          <w:color w:val="FF0000"/>
          <w:sz w:val="24"/>
          <w:szCs w:val="24"/>
        </w:rPr>
        <w:t xml:space="preserve"> Какие органы уполномочены выдавать справку, подтверждающую право на прием на места в пределах отдельной квоты, в случае, если поступающие или родители поступающих являются участниками СВО, участниками боевых действий:</w:t>
      </w:r>
    </w:p>
    <w:p w:rsidR="00214E5F" w:rsidRPr="00773F3C" w:rsidRDefault="00214E5F" w:rsidP="00214E5F">
      <w:pPr>
        <w:spacing w:after="0" w:line="240" w:lineRule="auto"/>
        <w:ind w:firstLine="709"/>
        <w:jc w:val="both"/>
        <w:rPr>
          <w:rFonts w:ascii="Open Sans" w:hAnsi="Open Sans" w:cs="Open Sans"/>
          <w:color w:val="000000" w:themeColor="text1"/>
          <w:sz w:val="24"/>
          <w:szCs w:val="24"/>
        </w:rPr>
      </w:pPr>
    </w:p>
    <w:tbl>
      <w:tblPr>
        <w:tblStyle w:val="a4"/>
        <w:tblW w:w="0" w:type="auto"/>
        <w:tblLook w:val="04A0" w:firstRow="1" w:lastRow="0" w:firstColumn="1" w:lastColumn="0" w:noHBand="0" w:noVBand="1"/>
      </w:tblPr>
      <w:tblGrid>
        <w:gridCol w:w="4672"/>
        <w:gridCol w:w="4673"/>
      </w:tblGrid>
      <w:tr w:rsidR="00773F3C" w:rsidRPr="00773F3C" w:rsidTr="0000013A">
        <w:tc>
          <w:tcPr>
            <w:tcW w:w="4672" w:type="dxa"/>
          </w:tcPr>
          <w:p w:rsidR="0000013A" w:rsidRPr="00773F3C" w:rsidRDefault="0000013A" w:rsidP="00214E5F">
            <w:pPr>
              <w:jc w:val="both"/>
              <w:rPr>
                <w:rFonts w:ascii="Open Sans" w:hAnsi="Open Sans" w:cs="Open Sans"/>
                <w:b/>
                <w:color w:val="000000" w:themeColor="text1"/>
                <w:sz w:val="24"/>
                <w:szCs w:val="24"/>
              </w:rPr>
            </w:pPr>
            <w:r w:rsidRPr="00773F3C">
              <w:rPr>
                <w:rFonts w:ascii="Open Sans" w:hAnsi="Open Sans" w:cs="Open Sans"/>
                <w:b/>
                <w:color w:val="000000" w:themeColor="text1"/>
                <w:sz w:val="24"/>
                <w:szCs w:val="24"/>
              </w:rPr>
              <w:t>Место службы</w:t>
            </w:r>
          </w:p>
        </w:tc>
        <w:tc>
          <w:tcPr>
            <w:tcW w:w="4673" w:type="dxa"/>
          </w:tcPr>
          <w:p w:rsidR="0000013A" w:rsidRPr="00773F3C" w:rsidRDefault="0000013A" w:rsidP="00214E5F">
            <w:pPr>
              <w:jc w:val="both"/>
              <w:rPr>
                <w:rFonts w:ascii="Open Sans" w:hAnsi="Open Sans" w:cs="Open Sans"/>
                <w:b/>
                <w:color w:val="000000" w:themeColor="text1"/>
                <w:sz w:val="24"/>
                <w:szCs w:val="24"/>
              </w:rPr>
            </w:pPr>
            <w:r w:rsidRPr="00773F3C">
              <w:rPr>
                <w:rFonts w:ascii="Open Sans" w:hAnsi="Open Sans" w:cs="Open Sans"/>
                <w:b/>
                <w:color w:val="000000" w:themeColor="text1"/>
                <w:sz w:val="24"/>
                <w:szCs w:val="24"/>
              </w:rPr>
              <w:t>Ведомство, уполномоченное выдавать справку</w:t>
            </w:r>
          </w:p>
        </w:tc>
      </w:tr>
      <w:tr w:rsidR="00773F3C" w:rsidRPr="00773F3C" w:rsidTr="0000013A">
        <w:tc>
          <w:tcPr>
            <w:tcW w:w="4672" w:type="dxa"/>
          </w:tcPr>
          <w:p w:rsidR="0000013A" w:rsidRPr="00773F3C" w:rsidRDefault="00AB3DE2"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Министерство обороны РФ</w:t>
            </w:r>
          </w:p>
        </w:tc>
        <w:tc>
          <w:tcPr>
            <w:tcW w:w="4673" w:type="dxa"/>
          </w:tcPr>
          <w:p w:rsidR="0000013A" w:rsidRPr="00773F3C" w:rsidRDefault="00AB3DE2"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Войсковая часть (организация), в которой военнослужащий проходил военную службу, либо военный комиссариат муниципального образования по месту воинского учета (месту жительства или месту пребывания военнослужащего или по месту фактического проживания семьи военнослужащего</w:t>
            </w:r>
          </w:p>
        </w:tc>
      </w:tr>
      <w:tr w:rsidR="00773F3C" w:rsidRPr="00773F3C" w:rsidTr="0000013A">
        <w:tc>
          <w:tcPr>
            <w:tcW w:w="4672" w:type="dxa"/>
          </w:tcPr>
          <w:p w:rsidR="0000013A" w:rsidRPr="00773F3C" w:rsidRDefault="00217256"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МВД России</w:t>
            </w:r>
          </w:p>
        </w:tc>
        <w:tc>
          <w:tcPr>
            <w:tcW w:w="4673" w:type="dxa"/>
          </w:tcPr>
          <w:p w:rsidR="0000013A" w:rsidRPr="00773F3C" w:rsidRDefault="00217256"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Органы, организации, подразделения МВД России</w:t>
            </w:r>
          </w:p>
        </w:tc>
      </w:tr>
      <w:tr w:rsidR="00773F3C" w:rsidRPr="00773F3C" w:rsidTr="0000013A">
        <w:tc>
          <w:tcPr>
            <w:tcW w:w="4672" w:type="dxa"/>
          </w:tcPr>
          <w:p w:rsidR="0000013A" w:rsidRPr="00773F3C" w:rsidRDefault="00217256"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Следственный комитет РФ (СК России)</w:t>
            </w:r>
          </w:p>
        </w:tc>
        <w:tc>
          <w:tcPr>
            <w:tcW w:w="4673" w:type="dxa"/>
          </w:tcPr>
          <w:p w:rsidR="0000013A" w:rsidRPr="00773F3C" w:rsidRDefault="00217256"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УПРАВЛЕНИЕ КАДРОВ СК РОССИИ, СЛЕДСТВЕННЫЕ ОРГАНЫ ИЛИ УЧРЕЖДЕНИЯ СК РОССИИ</w:t>
            </w:r>
          </w:p>
        </w:tc>
      </w:tr>
      <w:tr w:rsidR="00773F3C" w:rsidRPr="00773F3C" w:rsidTr="0000013A">
        <w:tc>
          <w:tcPr>
            <w:tcW w:w="4672" w:type="dxa"/>
          </w:tcPr>
          <w:p w:rsidR="0000013A" w:rsidRPr="00773F3C" w:rsidRDefault="00217256" w:rsidP="00217256">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Федеральная служба безопасности РФ</w:t>
            </w:r>
          </w:p>
        </w:tc>
        <w:tc>
          <w:tcPr>
            <w:tcW w:w="4673" w:type="dxa"/>
          </w:tcPr>
          <w:p w:rsidR="0000013A" w:rsidRPr="00773F3C" w:rsidRDefault="005E404A" w:rsidP="005E404A">
            <w:pPr>
              <w:tabs>
                <w:tab w:val="left" w:pos="1273"/>
              </w:tabs>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Войсковые части</w:t>
            </w:r>
          </w:p>
        </w:tc>
      </w:tr>
      <w:tr w:rsidR="00773F3C" w:rsidRPr="00773F3C" w:rsidTr="0000013A">
        <w:tc>
          <w:tcPr>
            <w:tcW w:w="4672" w:type="dxa"/>
          </w:tcPr>
          <w:p w:rsidR="0000013A" w:rsidRPr="00773F3C" w:rsidRDefault="00113269"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Федеральная служба войск национальной гвардии РФ</w:t>
            </w:r>
          </w:p>
        </w:tc>
        <w:tc>
          <w:tcPr>
            <w:tcW w:w="4673" w:type="dxa"/>
          </w:tcPr>
          <w:p w:rsidR="0000013A" w:rsidRPr="00773F3C" w:rsidRDefault="00113269"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Кадровые органы (органы комплектования воинских частей (организаций) войск национальной гвардии РФ</w:t>
            </w:r>
          </w:p>
        </w:tc>
      </w:tr>
      <w:tr w:rsidR="00773F3C" w:rsidRPr="00773F3C" w:rsidTr="0000013A">
        <w:tc>
          <w:tcPr>
            <w:tcW w:w="4672" w:type="dxa"/>
          </w:tcPr>
          <w:p w:rsidR="0000013A" w:rsidRPr="00773F3C" w:rsidRDefault="00113269"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МЧС России</w:t>
            </w:r>
          </w:p>
        </w:tc>
        <w:tc>
          <w:tcPr>
            <w:tcW w:w="4673" w:type="dxa"/>
          </w:tcPr>
          <w:p w:rsidR="0000013A" w:rsidRPr="00773F3C" w:rsidRDefault="00113269"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Департамент кадровой политики МЧС России, главные управления МЧС России по субъектам РФ, организации и учреждения, находящиеся в ведении МЧС России</w:t>
            </w:r>
          </w:p>
        </w:tc>
      </w:tr>
      <w:tr w:rsidR="00773F3C" w:rsidRPr="00773F3C" w:rsidTr="0000013A">
        <w:tc>
          <w:tcPr>
            <w:tcW w:w="4672" w:type="dxa"/>
          </w:tcPr>
          <w:p w:rsidR="0000013A" w:rsidRPr="00773F3C" w:rsidRDefault="00113269"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Федеральная служба исполнения наказаний (ФСИН России)</w:t>
            </w:r>
          </w:p>
        </w:tc>
        <w:tc>
          <w:tcPr>
            <w:tcW w:w="4673" w:type="dxa"/>
          </w:tcPr>
          <w:p w:rsidR="00EC1949" w:rsidRPr="00773F3C" w:rsidRDefault="00113269" w:rsidP="00214E5F">
            <w:pPr>
              <w:jc w:val="both"/>
              <w:rPr>
                <w:rFonts w:ascii="Open Sans" w:hAnsi="Open Sans" w:cs="Open Sans"/>
                <w:color w:val="000000" w:themeColor="text1"/>
                <w:sz w:val="24"/>
                <w:szCs w:val="24"/>
              </w:rPr>
            </w:pPr>
            <w:r w:rsidRPr="00773F3C">
              <w:rPr>
                <w:rFonts w:ascii="Open Sans" w:hAnsi="Open Sans" w:cs="Open Sans"/>
                <w:color w:val="000000" w:themeColor="text1"/>
                <w:sz w:val="24"/>
                <w:szCs w:val="24"/>
              </w:rPr>
              <w:t xml:space="preserve">- в отношении лиц, проходящих (проходивших) службу в центральном аппарате ФСИН России, Управление кадров ФСИН России; </w:t>
            </w:r>
          </w:p>
          <w:p w:rsidR="0000013A" w:rsidRPr="00773F3C" w:rsidRDefault="00113269"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 xml:space="preserve">- в отношении лиц, проходящих (проходивших) службу в иных учреждениях и органах уголовно-исполнительной системы РФ, - </w:t>
            </w:r>
            <w:r w:rsidRPr="00773F3C">
              <w:rPr>
                <w:rFonts w:ascii="Open Sans" w:hAnsi="Open Sans" w:cs="Open Sans"/>
                <w:color w:val="000000" w:themeColor="text1"/>
                <w:sz w:val="24"/>
                <w:szCs w:val="24"/>
              </w:rPr>
              <w:lastRenderedPageBreak/>
              <w:t>соответствующие кадровые подразделения</w:t>
            </w:r>
          </w:p>
        </w:tc>
      </w:tr>
      <w:tr w:rsidR="0000013A" w:rsidRPr="00773F3C" w:rsidTr="0000013A">
        <w:tc>
          <w:tcPr>
            <w:tcW w:w="4672" w:type="dxa"/>
          </w:tcPr>
          <w:p w:rsidR="0000013A" w:rsidRPr="00773F3C" w:rsidRDefault="00EC1949"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lastRenderedPageBreak/>
              <w:t>Главная военная прокуратура</w:t>
            </w:r>
          </w:p>
        </w:tc>
        <w:tc>
          <w:tcPr>
            <w:tcW w:w="4673" w:type="dxa"/>
          </w:tcPr>
          <w:p w:rsidR="0000013A" w:rsidRPr="00773F3C" w:rsidRDefault="00EC1949"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Управление кадров Главной военной прокуратуры и кадровые подразделения военных прокуратур военных округов, флотов, Ракетных войск стратегического назначения, Московской городской военной прокуратуры и других военных прокуратур, приравненных к прокуратурам субъектов РФ</w:t>
            </w:r>
          </w:p>
        </w:tc>
      </w:tr>
      <w:tr w:rsidR="0000013A" w:rsidRPr="00773F3C" w:rsidTr="0000013A">
        <w:tc>
          <w:tcPr>
            <w:tcW w:w="4672" w:type="dxa"/>
          </w:tcPr>
          <w:p w:rsidR="0000013A" w:rsidRPr="00773F3C" w:rsidRDefault="00EC1949"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Служба внешней разведки (СВР России)</w:t>
            </w:r>
          </w:p>
        </w:tc>
        <w:tc>
          <w:tcPr>
            <w:tcW w:w="4673" w:type="dxa"/>
          </w:tcPr>
          <w:p w:rsidR="0000013A" w:rsidRPr="00773F3C" w:rsidRDefault="00EC1949"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Кадровый аппарат СВР России</w:t>
            </w:r>
          </w:p>
        </w:tc>
      </w:tr>
      <w:tr w:rsidR="0000013A" w:rsidRPr="00773F3C" w:rsidTr="0000013A">
        <w:tc>
          <w:tcPr>
            <w:tcW w:w="4672" w:type="dxa"/>
          </w:tcPr>
          <w:p w:rsidR="0000013A" w:rsidRPr="00773F3C" w:rsidRDefault="00EC1949"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Федеральная служба охраны РФ (ФСО России)</w:t>
            </w:r>
          </w:p>
        </w:tc>
        <w:tc>
          <w:tcPr>
            <w:tcW w:w="4673" w:type="dxa"/>
          </w:tcPr>
          <w:p w:rsidR="0000013A" w:rsidRPr="00773F3C" w:rsidRDefault="00EC1949"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Кадровые аппараты структурных подразделений ФСО России и подразделений, входящих в их состав, а также Академия ФСО России</w:t>
            </w:r>
          </w:p>
        </w:tc>
      </w:tr>
      <w:tr w:rsidR="0000013A" w:rsidRPr="00773F3C" w:rsidTr="0000013A">
        <w:tc>
          <w:tcPr>
            <w:tcW w:w="4672" w:type="dxa"/>
          </w:tcPr>
          <w:p w:rsidR="0000013A" w:rsidRPr="00773F3C" w:rsidRDefault="00EC1949"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Главное управление специальных программ Президента РФ (ГУСП)</w:t>
            </w:r>
          </w:p>
        </w:tc>
        <w:tc>
          <w:tcPr>
            <w:tcW w:w="4673" w:type="dxa"/>
          </w:tcPr>
          <w:p w:rsidR="0000013A" w:rsidRPr="00773F3C" w:rsidRDefault="00EC1949" w:rsidP="00214E5F">
            <w:pPr>
              <w:jc w:val="both"/>
              <w:rPr>
                <w:rFonts w:ascii="Open Sans" w:hAnsi="Open Sans" w:cs="Open Sans"/>
                <w:b/>
                <w:color w:val="000000" w:themeColor="text1"/>
                <w:sz w:val="24"/>
                <w:szCs w:val="24"/>
              </w:rPr>
            </w:pPr>
            <w:r w:rsidRPr="00773F3C">
              <w:rPr>
                <w:rFonts w:ascii="Open Sans" w:hAnsi="Open Sans" w:cs="Open Sans"/>
                <w:color w:val="000000" w:themeColor="text1"/>
                <w:sz w:val="24"/>
                <w:szCs w:val="24"/>
              </w:rPr>
              <w:t>Отдел государственной службы, кадров и спецработы ГУСП</w:t>
            </w:r>
          </w:p>
        </w:tc>
      </w:tr>
    </w:tbl>
    <w:p w:rsidR="0000013A" w:rsidRDefault="0000013A" w:rsidP="00214E5F">
      <w:pPr>
        <w:spacing w:after="0" w:line="240" w:lineRule="auto"/>
        <w:ind w:firstLine="709"/>
        <w:jc w:val="both"/>
        <w:rPr>
          <w:rFonts w:ascii="Open Sans" w:hAnsi="Open Sans" w:cs="Open Sans"/>
          <w:b/>
          <w:color w:val="FF0000"/>
          <w:sz w:val="24"/>
          <w:szCs w:val="24"/>
        </w:rPr>
      </w:pPr>
    </w:p>
    <w:p w:rsidR="008200AE" w:rsidRDefault="008200AE">
      <w:pPr>
        <w:rPr>
          <w:rFonts w:ascii="Open Sans" w:hAnsi="Open Sans" w:cs="Open Sans"/>
          <w:b/>
          <w:sz w:val="26"/>
          <w:szCs w:val="26"/>
        </w:rPr>
      </w:pPr>
      <w:r>
        <w:rPr>
          <w:rFonts w:ascii="Open Sans" w:hAnsi="Open Sans" w:cs="Open Sans"/>
          <w:b/>
          <w:sz w:val="26"/>
          <w:szCs w:val="26"/>
        </w:rPr>
        <w:br w:type="page"/>
      </w:r>
    </w:p>
    <w:p w:rsidR="00773F3C" w:rsidRDefault="007050F2" w:rsidP="007050F2">
      <w:pPr>
        <w:spacing w:after="0" w:line="240" w:lineRule="auto"/>
        <w:ind w:firstLine="709"/>
        <w:jc w:val="center"/>
        <w:rPr>
          <w:rFonts w:ascii="Open Sans" w:hAnsi="Open Sans" w:cs="Open Sans"/>
          <w:b/>
          <w:sz w:val="26"/>
          <w:szCs w:val="26"/>
        </w:rPr>
      </w:pPr>
      <w:r w:rsidRPr="00773F3C">
        <w:rPr>
          <w:rFonts w:ascii="Open Sans" w:hAnsi="Open Sans" w:cs="Open Sans"/>
          <w:b/>
          <w:sz w:val="26"/>
          <w:szCs w:val="26"/>
        </w:rPr>
        <w:lastRenderedPageBreak/>
        <w:t>СРОКИ ПОДАЧИ ДОКУМЕНТОВ О ПРИЕМЕ НА М</w:t>
      </w:r>
      <w:r>
        <w:rPr>
          <w:rFonts w:ascii="Open Sans" w:hAnsi="Open Sans" w:cs="Open Sans"/>
          <w:b/>
          <w:sz w:val="26"/>
          <w:szCs w:val="26"/>
        </w:rPr>
        <w:t>ЕСТА В ПРЕДЕЛАХ ОТДЕЛЬНОЙ КВОТЫ</w:t>
      </w:r>
    </w:p>
    <w:p w:rsidR="007050F2" w:rsidRDefault="007050F2" w:rsidP="00524AF7">
      <w:pPr>
        <w:spacing w:after="0" w:line="240" w:lineRule="auto"/>
        <w:ind w:firstLine="709"/>
        <w:rPr>
          <w:rFonts w:ascii="Open Sans" w:hAnsi="Open Sans" w:cs="Open Sans"/>
          <w:b/>
          <w:sz w:val="26"/>
          <w:szCs w:val="26"/>
        </w:rPr>
      </w:pPr>
    </w:p>
    <w:tbl>
      <w:tblPr>
        <w:tblStyle w:val="a4"/>
        <w:tblW w:w="9414" w:type="dxa"/>
        <w:tblLook w:val="04A0" w:firstRow="1" w:lastRow="0" w:firstColumn="1" w:lastColumn="0" w:noHBand="0" w:noVBand="1"/>
      </w:tblPr>
      <w:tblGrid>
        <w:gridCol w:w="4707"/>
        <w:gridCol w:w="4707"/>
      </w:tblGrid>
      <w:tr w:rsidR="00E20C84" w:rsidRPr="00B05415" w:rsidTr="00A06AD7">
        <w:trPr>
          <w:trHeight w:val="1401"/>
        </w:trPr>
        <w:tc>
          <w:tcPr>
            <w:tcW w:w="4707" w:type="dxa"/>
          </w:tcPr>
          <w:p w:rsidR="00E20C84" w:rsidRPr="00B05415" w:rsidRDefault="00E20C84" w:rsidP="00741E79">
            <w:pPr>
              <w:jc w:val="both"/>
              <w:rPr>
                <w:rFonts w:ascii="Open Sans" w:hAnsi="Open Sans" w:cs="Open Sans"/>
                <w:b/>
                <w:sz w:val="24"/>
                <w:szCs w:val="24"/>
              </w:rPr>
            </w:pPr>
            <w:r w:rsidRPr="00B05415">
              <w:rPr>
                <w:rFonts w:ascii="Open Sans" w:hAnsi="Open Sans" w:cs="Open Sans"/>
                <w:sz w:val="24"/>
                <w:szCs w:val="24"/>
              </w:rPr>
              <w:t>Сроки подачи документов для лиц, поступающих на места отдельной квоты без проведения вступительных испытаний</w:t>
            </w:r>
          </w:p>
        </w:tc>
        <w:tc>
          <w:tcPr>
            <w:tcW w:w="4707" w:type="dxa"/>
          </w:tcPr>
          <w:p w:rsidR="00E20C84" w:rsidRPr="00B05415" w:rsidRDefault="00E20C84" w:rsidP="00D672FB">
            <w:pPr>
              <w:jc w:val="center"/>
              <w:rPr>
                <w:rFonts w:ascii="Open Sans" w:hAnsi="Open Sans" w:cs="Open Sans"/>
                <w:b/>
                <w:sz w:val="24"/>
                <w:szCs w:val="24"/>
              </w:rPr>
            </w:pPr>
            <w:r w:rsidRPr="00B05415">
              <w:rPr>
                <w:rFonts w:ascii="Open Sans" w:hAnsi="Open Sans" w:cs="Open Sans"/>
                <w:sz w:val="24"/>
                <w:szCs w:val="24"/>
              </w:rPr>
              <w:t>с 20 июня по 25 июля 202</w:t>
            </w:r>
            <w:r w:rsidR="00D672FB">
              <w:rPr>
                <w:rFonts w:ascii="Open Sans" w:hAnsi="Open Sans" w:cs="Open Sans"/>
                <w:sz w:val="24"/>
                <w:szCs w:val="24"/>
              </w:rPr>
              <w:t>5</w:t>
            </w:r>
            <w:r w:rsidRPr="00B05415">
              <w:rPr>
                <w:rFonts w:ascii="Open Sans" w:hAnsi="Open Sans" w:cs="Open Sans"/>
                <w:sz w:val="24"/>
                <w:szCs w:val="24"/>
              </w:rPr>
              <w:t xml:space="preserve"> года</w:t>
            </w:r>
          </w:p>
        </w:tc>
      </w:tr>
      <w:tr w:rsidR="00E20C84" w:rsidRPr="00B05415" w:rsidTr="00A06AD7">
        <w:trPr>
          <w:trHeight w:val="1691"/>
        </w:trPr>
        <w:tc>
          <w:tcPr>
            <w:tcW w:w="4707" w:type="dxa"/>
          </w:tcPr>
          <w:p w:rsidR="00E20C84" w:rsidRPr="00B05415" w:rsidRDefault="00E20C84" w:rsidP="00741E79">
            <w:pPr>
              <w:jc w:val="both"/>
              <w:rPr>
                <w:rFonts w:ascii="Open Sans" w:hAnsi="Open Sans" w:cs="Open Sans"/>
                <w:b/>
                <w:sz w:val="24"/>
                <w:szCs w:val="24"/>
              </w:rPr>
            </w:pPr>
            <w:r w:rsidRPr="00B05415">
              <w:rPr>
                <w:rFonts w:ascii="Open Sans" w:hAnsi="Open Sans" w:cs="Open Sans"/>
                <w:sz w:val="24"/>
                <w:szCs w:val="24"/>
              </w:rPr>
              <w:t>Сроки подачи документов для лиц, поступающих на места отдельной квоты по результатам вступительных испытаний, проводимых Университетом</w:t>
            </w:r>
          </w:p>
        </w:tc>
        <w:tc>
          <w:tcPr>
            <w:tcW w:w="4707" w:type="dxa"/>
          </w:tcPr>
          <w:p w:rsidR="00E20C84" w:rsidRPr="00B05415" w:rsidRDefault="00E20C84" w:rsidP="00D672FB">
            <w:pPr>
              <w:jc w:val="center"/>
              <w:rPr>
                <w:rFonts w:ascii="Open Sans" w:hAnsi="Open Sans" w:cs="Open Sans"/>
                <w:b/>
                <w:sz w:val="24"/>
                <w:szCs w:val="24"/>
              </w:rPr>
            </w:pPr>
            <w:r w:rsidRPr="00B05415">
              <w:rPr>
                <w:rFonts w:ascii="Open Sans" w:hAnsi="Open Sans" w:cs="Open Sans"/>
                <w:sz w:val="24"/>
                <w:szCs w:val="24"/>
              </w:rPr>
              <w:t xml:space="preserve">с 20 июня по </w:t>
            </w:r>
            <w:r>
              <w:rPr>
                <w:rFonts w:ascii="Open Sans" w:hAnsi="Open Sans" w:cs="Open Sans"/>
                <w:sz w:val="24"/>
                <w:szCs w:val="24"/>
              </w:rPr>
              <w:t>20</w:t>
            </w:r>
            <w:r w:rsidRPr="00B05415">
              <w:rPr>
                <w:rFonts w:ascii="Open Sans" w:hAnsi="Open Sans" w:cs="Open Sans"/>
                <w:sz w:val="24"/>
                <w:szCs w:val="24"/>
              </w:rPr>
              <w:t xml:space="preserve"> июля 202</w:t>
            </w:r>
            <w:r w:rsidR="00D672FB">
              <w:rPr>
                <w:rFonts w:ascii="Open Sans" w:hAnsi="Open Sans" w:cs="Open Sans"/>
                <w:sz w:val="24"/>
                <w:szCs w:val="24"/>
              </w:rPr>
              <w:t>5</w:t>
            </w:r>
            <w:r w:rsidRPr="00B05415">
              <w:rPr>
                <w:rFonts w:ascii="Open Sans" w:hAnsi="Open Sans" w:cs="Open Sans"/>
                <w:sz w:val="24"/>
                <w:szCs w:val="24"/>
              </w:rPr>
              <w:t xml:space="preserve"> года</w:t>
            </w:r>
          </w:p>
        </w:tc>
      </w:tr>
      <w:tr w:rsidR="00E20C84" w:rsidRPr="00B05415" w:rsidTr="00A06AD7">
        <w:trPr>
          <w:trHeight w:val="840"/>
        </w:trPr>
        <w:tc>
          <w:tcPr>
            <w:tcW w:w="4707" w:type="dxa"/>
          </w:tcPr>
          <w:p w:rsidR="00E20C84" w:rsidRPr="00DC74E7" w:rsidRDefault="00E20C84" w:rsidP="00CD1DFF">
            <w:pPr>
              <w:rPr>
                <w:rFonts w:ascii="Open Sans" w:hAnsi="Open Sans" w:cs="Open Sans"/>
                <w:sz w:val="24"/>
                <w:szCs w:val="24"/>
              </w:rPr>
            </w:pPr>
            <w:r w:rsidRPr="00DC74E7">
              <w:rPr>
                <w:rFonts w:ascii="Open Sans" w:hAnsi="Open Sans" w:cs="Open Sans"/>
                <w:sz w:val="24"/>
                <w:szCs w:val="24"/>
              </w:rPr>
              <w:t>Размещение конкурсных списков</w:t>
            </w:r>
          </w:p>
        </w:tc>
        <w:tc>
          <w:tcPr>
            <w:tcW w:w="4707" w:type="dxa"/>
          </w:tcPr>
          <w:p w:rsidR="00E20C84" w:rsidRPr="00DC74E7" w:rsidRDefault="00E20C84" w:rsidP="00D672FB">
            <w:pPr>
              <w:jc w:val="center"/>
              <w:rPr>
                <w:rFonts w:ascii="Open Sans" w:hAnsi="Open Sans" w:cs="Open Sans"/>
                <w:sz w:val="24"/>
                <w:szCs w:val="24"/>
              </w:rPr>
            </w:pPr>
            <w:r w:rsidRPr="00DC74E7">
              <w:rPr>
                <w:rFonts w:ascii="Open Sans" w:hAnsi="Open Sans" w:cs="Open Sans"/>
                <w:sz w:val="24"/>
                <w:szCs w:val="24"/>
              </w:rPr>
              <w:t>27 июля 202</w:t>
            </w:r>
            <w:r w:rsidR="00D672FB">
              <w:rPr>
                <w:rFonts w:ascii="Open Sans" w:hAnsi="Open Sans" w:cs="Open Sans"/>
                <w:sz w:val="24"/>
                <w:szCs w:val="24"/>
              </w:rPr>
              <w:t>5</w:t>
            </w:r>
            <w:r w:rsidRPr="00DC74E7">
              <w:rPr>
                <w:rFonts w:ascii="Open Sans" w:hAnsi="Open Sans" w:cs="Open Sans"/>
                <w:sz w:val="24"/>
                <w:szCs w:val="24"/>
              </w:rPr>
              <w:t xml:space="preserve"> года</w:t>
            </w:r>
          </w:p>
        </w:tc>
      </w:tr>
      <w:tr w:rsidR="00E20C84" w:rsidRPr="00B05415" w:rsidTr="00A06AD7">
        <w:trPr>
          <w:trHeight w:val="514"/>
        </w:trPr>
        <w:tc>
          <w:tcPr>
            <w:tcW w:w="4707" w:type="dxa"/>
          </w:tcPr>
          <w:p w:rsidR="00E20C84" w:rsidRPr="00DC74E7" w:rsidRDefault="00DC74E7" w:rsidP="00D672FB">
            <w:pPr>
              <w:jc w:val="both"/>
              <w:rPr>
                <w:rFonts w:ascii="Open Sans" w:hAnsi="Open Sans" w:cs="Open Sans"/>
                <w:sz w:val="24"/>
                <w:szCs w:val="24"/>
              </w:rPr>
            </w:pPr>
            <w:r w:rsidRPr="00DC74E7">
              <w:rPr>
                <w:rFonts w:ascii="Open Sans" w:hAnsi="Open Sans" w:cs="Open Sans"/>
                <w:sz w:val="24"/>
                <w:szCs w:val="24"/>
              </w:rPr>
              <w:t>Срок завершения пред</w:t>
            </w:r>
            <w:r w:rsidR="00147D23">
              <w:rPr>
                <w:rFonts w:ascii="Open Sans" w:hAnsi="Open Sans" w:cs="Open Sans"/>
                <w:sz w:val="24"/>
                <w:szCs w:val="24"/>
              </w:rPr>
              <w:t xml:space="preserve">оставления </w:t>
            </w:r>
            <w:r w:rsidR="00D672FB">
              <w:rPr>
                <w:rFonts w:ascii="Open Sans" w:hAnsi="Open Sans" w:cs="Open Sans"/>
                <w:sz w:val="24"/>
                <w:szCs w:val="24"/>
              </w:rPr>
              <w:t>согласия на зачисление</w:t>
            </w:r>
          </w:p>
        </w:tc>
        <w:tc>
          <w:tcPr>
            <w:tcW w:w="4707" w:type="dxa"/>
          </w:tcPr>
          <w:p w:rsidR="00E20C84" w:rsidRPr="00DC74E7" w:rsidRDefault="00D672FB" w:rsidP="00D672FB">
            <w:pPr>
              <w:jc w:val="center"/>
              <w:rPr>
                <w:rFonts w:ascii="Open Sans" w:hAnsi="Open Sans" w:cs="Open Sans"/>
                <w:sz w:val="24"/>
                <w:szCs w:val="24"/>
              </w:rPr>
            </w:pPr>
            <w:r>
              <w:rPr>
                <w:rFonts w:ascii="Open Sans" w:hAnsi="Open Sans" w:cs="Open Sans"/>
                <w:sz w:val="24"/>
                <w:szCs w:val="24"/>
              </w:rPr>
              <w:t>01</w:t>
            </w:r>
            <w:r w:rsidR="00DC74E7" w:rsidRPr="00DC74E7">
              <w:rPr>
                <w:rFonts w:ascii="Open Sans" w:hAnsi="Open Sans" w:cs="Open Sans"/>
                <w:sz w:val="24"/>
                <w:szCs w:val="24"/>
              </w:rPr>
              <w:t xml:space="preserve"> </w:t>
            </w:r>
            <w:r>
              <w:rPr>
                <w:rFonts w:ascii="Open Sans" w:hAnsi="Open Sans" w:cs="Open Sans"/>
                <w:sz w:val="24"/>
                <w:szCs w:val="24"/>
              </w:rPr>
              <w:t>августа</w:t>
            </w:r>
            <w:r w:rsidR="00DC74E7" w:rsidRPr="00DC74E7">
              <w:rPr>
                <w:rFonts w:ascii="Open Sans" w:hAnsi="Open Sans" w:cs="Open Sans"/>
                <w:sz w:val="24"/>
                <w:szCs w:val="24"/>
              </w:rPr>
              <w:t xml:space="preserve"> 202</w:t>
            </w:r>
            <w:r>
              <w:rPr>
                <w:rFonts w:ascii="Open Sans" w:hAnsi="Open Sans" w:cs="Open Sans"/>
                <w:sz w:val="24"/>
                <w:szCs w:val="24"/>
              </w:rPr>
              <w:t>5</w:t>
            </w:r>
            <w:r w:rsidR="00DC74E7" w:rsidRPr="00DC74E7">
              <w:rPr>
                <w:rFonts w:ascii="Open Sans" w:hAnsi="Open Sans" w:cs="Open Sans"/>
                <w:sz w:val="24"/>
                <w:szCs w:val="24"/>
              </w:rPr>
              <w:t xml:space="preserve"> года (до 12:00 по </w:t>
            </w:r>
            <w:proofErr w:type="spellStart"/>
            <w:r w:rsidR="00DC74E7" w:rsidRPr="00DC74E7">
              <w:rPr>
                <w:rFonts w:ascii="Open Sans" w:hAnsi="Open Sans" w:cs="Open Sans"/>
                <w:sz w:val="24"/>
                <w:szCs w:val="24"/>
              </w:rPr>
              <w:t>мск</w:t>
            </w:r>
            <w:proofErr w:type="spellEnd"/>
            <w:r w:rsidR="00DC74E7" w:rsidRPr="00DC74E7">
              <w:rPr>
                <w:rFonts w:ascii="Open Sans" w:hAnsi="Open Sans" w:cs="Open Sans"/>
                <w:sz w:val="24"/>
                <w:szCs w:val="24"/>
              </w:rPr>
              <w:t>)</w:t>
            </w:r>
          </w:p>
        </w:tc>
      </w:tr>
      <w:tr w:rsidR="00E20C84" w:rsidRPr="00B05415" w:rsidTr="00A06AD7">
        <w:trPr>
          <w:trHeight w:val="514"/>
        </w:trPr>
        <w:tc>
          <w:tcPr>
            <w:tcW w:w="4707" w:type="dxa"/>
          </w:tcPr>
          <w:p w:rsidR="00E20C84" w:rsidRPr="00B159D2" w:rsidRDefault="00B159D2" w:rsidP="00A06AD7">
            <w:pPr>
              <w:jc w:val="both"/>
              <w:rPr>
                <w:rFonts w:ascii="Open Sans" w:hAnsi="Open Sans" w:cs="Open Sans"/>
                <w:sz w:val="24"/>
                <w:szCs w:val="24"/>
              </w:rPr>
            </w:pPr>
            <w:r w:rsidRPr="00B159D2">
              <w:rPr>
                <w:rFonts w:ascii="Open Sans" w:hAnsi="Open Sans" w:cs="Open Sans"/>
                <w:sz w:val="24"/>
                <w:szCs w:val="24"/>
              </w:rPr>
              <w:t>Срок предоставления оригинала справки, подтверж</w:t>
            </w:r>
            <w:r w:rsidR="00A06AD7">
              <w:rPr>
                <w:rFonts w:ascii="Open Sans" w:hAnsi="Open Sans" w:cs="Open Sans"/>
                <w:sz w:val="24"/>
                <w:szCs w:val="24"/>
              </w:rPr>
              <w:t>дающей право на отдельную квоту</w:t>
            </w:r>
          </w:p>
        </w:tc>
        <w:tc>
          <w:tcPr>
            <w:tcW w:w="4707" w:type="dxa"/>
          </w:tcPr>
          <w:p w:rsidR="00E20C84" w:rsidRPr="00B159D2" w:rsidRDefault="00D672FB" w:rsidP="00D672FB">
            <w:pPr>
              <w:jc w:val="center"/>
              <w:rPr>
                <w:rFonts w:ascii="Open Sans" w:hAnsi="Open Sans" w:cs="Open Sans"/>
                <w:sz w:val="24"/>
                <w:szCs w:val="24"/>
              </w:rPr>
            </w:pPr>
            <w:r>
              <w:rPr>
                <w:rFonts w:ascii="Open Sans" w:hAnsi="Open Sans" w:cs="Open Sans"/>
                <w:sz w:val="24"/>
                <w:szCs w:val="24"/>
              </w:rPr>
              <w:t xml:space="preserve">01 августа </w:t>
            </w:r>
            <w:r w:rsidR="00B159D2" w:rsidRPr="00B159D2">
              <w:rPr>
                <w:rFonts w:ascii="Open Sans" w:hAnsi="Open Sans" w:cs="Open Sans"/>
                <w:sz w:val="24"/>
                <w:szCs w:val="24"/>
              </w:rPr>
              <w:t>202</w:t>
            </w:r>
            <w:r>
              <w:rPr>
                <w:rFonts w:ascii="Open Sans" w:hAnsi="Open Sans" w:cs="Open Sans"/>
                <w:sz w:val="24"/>
                <w:szCs w:val="24"/>
              </w:rPr>
              <w:t>5</w:t>
            </w:r>
            <w:r w:rsidR="00B159D2" w:rsidRPr="00B159D2">
              <w:rPr>
                <w:rFonts w:ascii="Open Sans" w:hAnsi="Open Sans" w:cs="Open Sans"/>
                <w:sz w:val="24"/>
                <w:szCs w:val="24"/>
              </w:rPr>
              <w:t xml:space="preserve"> года (до 12:00 по </w:t>
            </w:r>
            <w:proofErr w:type="spellStart"/>
            <w:r w:rsidR="00B159D2" w:rsidRPr="00B159D2">
              <w:rPr>
                <w:rFonts w:ascii="Open Sans" w:hAnsi="Open Sans" w:cs="Open Sans"/>
                <w:sz w:val="24"/>
                <w:szCs w:val="24"/>
              </w:rPr>
              <w:t>мск</w:t>
            </w:r>
            <w:proofErr w:type="spellEnd"/>
            <w:r w:rsidR="00B159D2" w:rsidRPr="00B159D2">
              <w:rPr>
                <w:rFonts w:ascii="Open Sans" w:hAnsi="Open Sans" w:cs="Open Sans"/>
                <w:sz w:val="24"/>
                <w:szCs w:val="24"/>
              </w:rPr>
              <w:t>)</w:t>
            </w:r>
          </w:p>
        </w:tc>
      </w:tr>
      <w:tr w:rsidR="00E20C84" w:rsidRPr="00B05415" w:rsidTr="00A06AD7">
        <w:trPr>
          <w:trHeight w:val="514"/>
        </w:trPr>
        <w:tc>
          <w:tcPr>
            <w:tcW w:w="4707" w:type="dxa"/>
          </w:tcPr>
          <w:p w:rsidR="00E20C84" w:rsidRPr="00B159D2" w:rsidRDefault="00B159D2" w:rsidP="00147D23">
            <w:pPr>
              <w:jc w:val="both"/>
              <w:rPr>
                <w:rFonts w:ascii="Open Sans" w:hAnsi="Open Sans" w:cs="Open Sans"/>
                <w:sz w:val="24"/>
                <w:szCs w:val="24"/>
              </w:rPr>
            </w:pPr>
            <w:r w:rsidRPr="00B159D2">
              <w:rPr>
                <w:rFonts w:ascii="Open Sans" w:hAnsi="Open Sans" w:cs="Open Sans"/>
                <w:sz w:val="24"/>
                <w:szCs w:val="24"/>
              </w:rPr>
              <w:t>Издание приказа о зачислении в пределах отдельной квоты</w:t>
            </w:r>
          </w:p>
        </w:tc>
        <w:tc>
          <w:tcPr>
            <w:tcW w:w="4707" w:type="dxa"/>
          </w:tcPr>
          <w:p w:rsidR="00E20C84" w:rsidRPr="00B159D2" w:rsidRDefault="00D672FB" w:rsidP="00D672FB">
            <w:pPr>
              <w:jc w:val="center"/>
              <w:rPr>
                <w:rFonts w:ascii="Open Sans" w:hAnsi="Open Sans" w:cs="Open Sans"/>
                <w:sz w:val="24"/>
                <w:szCs w:val="24"/>
              </w:rPr>
            </w:pPr>
            <w:r>
              <w:rPr>
                <w:rFonts w:ascii="Open Sans" w:hAnsi="Open Sans" w:cs="Open Sans"/>
                <w:sz w:val="24"/>
                <w:szCs w:val="24"/>
              </w:rPr>
              <w:t>03 августа</w:t>
            </w:r>
            <w:r w:rsidR="00B159D2" w:rsidRPr="00B159D2">
              <w:rPr>
                <w:rFonts w:ascii="Open Sans" w:hAnsi="Open Sans" w:cs="Open Sans"/>
                <w:sz w:val="24"/>
                <w:szCs w:val="24"/>
              </w:rPr>
              <w:t xml:space="preserve"> 202</w:t>
            </w:r>
            <w:r>
              <w:rPr>
                <w:rFonts w:ascii="Open Sans" w:hAnsi="Open Sans" w:cs="Open Sans"/>
                <w:sz w:val="24"/>
                <w:szCs w:val="24"/>
              </w:rPr>
              <w:t>5</w:t>
            </w:r>
            <w:r w:rsidR="00B159D2" w:rsidRPr="00B159D2">
              <w:rPr>
                <w:rFonts w:ascii="Open Sans" w:hAnsi="Open Sans" w:cs="Open Sans"/>
                <w:sz w:val="24"/>
                <w:szCs w:val="24"/>
              </w:rPr>
              <w:t xml:space="preserve"> года</w:t>
            </w:r>
          </w:p>
        </w:tc>
      </w:tr>
    </w:tbl>
    <w:p w:rsidR="008200AE" w:rsidRDefault="008200AE" w:rsidP="008200AE">
      <w:pPr>
        <w:spacing w:after="0" w:line="240" w:lineRule="auto"/>
        <w:rPr>
          <w:rFonts w:ascii="Open Sans" w:hAnsi="Open Sans" w:cs="Open Sans"/>
          <w:b/>
          <w:sz w:val="26"/>
          <w:szCs w:val="26"/>
        </w:rPr>
      </w:pPr>
    </w:p>
    <w:sectPr w:rsidR="008200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B0E2D"/>
    <w:multiLevelType w:val="hybridMultilevel"/>
    <w:tmpl w:val="1B108754"/>
    <w:lvl w:ilvl="0" w:tplc="BC4076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432E98"/>
    <w:multiLevelType w:val="hybridMultilevel"/>
    <w:tmpl w:val="7A7E9C14"/>
    <w:lvl w:ilvl="0" w:tplc="BC4076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8831918"/>
    <w:multiLevelType w:val="hybridMultilevel"/>
    <w:tmpl w:val="B2642200"/>
    <w:lvl w:ilvl="0" w:tplc="652EF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0F"/>
    <w:rsid w:val="0000013A"/>
    <w:rsid w:val="00100E0F"/>
    <w:rsid w:val="00113269"/>
    <w:rsid w:val="00147D23"/>
    <w:rsid w:val="00166EA3"/>
    <w:rsid w:val="00214E5F"/>
    <w:rsid w:val="00217256"/>
    <w:rsid w:val="00251D4B"/>
    <w:rsid w:val="00275866"/>
    <w:rsid w:val="002C7710"/>
    <w:rsid w:val="0035605F"/>
    <w:rsid w:val="003D3EA4"/>
    <w:rsid w:val="00466A71"/>
    <w:rsid w:val="004A2BC8"/>
    <w:rsid w:val="004D49BB"/>
    <w:rsid w:val="004E5A40"/>
    <w:rsid w:val="0050244A"/>
    <w:rsid w:val="00520B4D"/>
    <w:rsid w:val="00522C7F"/>
    <w:rsid w:val="00524AF7"/>
    <w:rsid w:val="00524F15"/>
    <w:rsid w:val="005629BE"/>
    <w:rsid w:val="005E404A"/>
    <w:rsid w:val="006023D2"/>
    <w:rsid w:val="006C0E0B"/>
    <w:rsid w:val="007050F2"/>
    <w:rsid w:val="00741E79"/>
    <w:rsid w:val="00773F3C"/>
    <w:rsid w:val="007C17E2"/>
    <w:rsid w:val="007D269C"/>
    <w:rsid w:val="008200AE"/>
    <w:rsid w:val="00933FEA"/>
    <w:rsid w:val="0096525A"/>
    <w:rsid w:val="009B651D"/>
    <w:rsid w:val="00A06AD7"/>
    <w:rsid w:val="00A64C23"/>
    <w:rsid w:val="00AB3DE2"/>
    <w:rsid w:val="00AF58D9"/>
    <w:rsid w:val="00B05415"/>
    <w:rsid w:val="00B159D2"/>
    <w:rsid w:val="00CD1DFF"/>
    <w:rsid w:val="00D01C92"/>
    <w:rsid w:val="00D44E4C"/>
    <w:rsid w:val="00D672FB"/>
    <w:rsid w:val="00DC74E7"/>
    <w:rsid w:val="00E20C84"/>
    <w:rsid w:val="00E70678"/>
    <w:rsid w:val="00E86EC7"/>
    <w:rsid w:val="00EC1949"/>
    <w:rsid w:val="00ED6B83"/>
    <w:rsid w:val="00F211D8"/>
    <w:rsid w:val="00F30B5E"/>
    <w:rsid w:val="00FA6E8D"/>
    <w:rsid w:val="00FE3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CB19"/>
  <w15:chartTrackingRefBased/>
  <w15:docId w15:val="{080B2479-118C-48FF-ACEC-37F7CEB4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E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0E0F"/>
    <w:pPr>
      <w:widowControl w:val="0"/>
      <w:autoSpaceDE w:val="0"/>
      <w:autoSpaceDN w:val="0"/>
      <w:spacing w:after="0" w:line="240" w:lineRule="auto"/>
    </w:pPr>
    <w:rPr>
      <w:rFonts w:ascii="Calibri" w:eastAsiaTheme="minorEastAsia" w:hAnsi="Calibri" w:cs="Calibri"/>
      <w:lang w:eastAsia="ru-RU"/>
    </w:rPr>
  </w:style>
  <w:style w:type="paragraph" w:styleId="a3">
    <w:name w:val="List Paragraph"/>
    <w:basedOn w:val="a"/>
    <w:uiPriority w:val="34"/>
    <w:qFormat/>
    <w:rsid w:val="00933FEA"/>
    <w:pPr>
      <w:ind w:left="720"/>
      <w:contextualSpacing/>
    </w:pPr>
  </w:style>
  <w:style w:type="table" w:styleId="a4">
    <w:name w:val="Table Grid"/>
    <w:basedOn w:val="a1"/>
    <w:uiPriority w:val="39"/>
    <w:rsid w:val="00000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61363&amp;dst=881" TargetMode="External"/><Relationship Id="rId5" Type="http://schemas.openxmlformats.org/officeDocument/2006/relationships/hyperlink" Target="https://login.consultant.ru/link/?req=doc&amp;base=LAW&amp;n=461363&amp;dst=88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9</Pages>
  <Words>1860</Words>
  <Characters>10602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Трухина Ольга Анатольевна</dc:creator>
  <cp:keywords/>
  <dc:description/>
  <cp:lastModifiedBy>Свирид Елена Васильевна</cp:lastModifiedBy>
  <cp:revision>6</cp:revision>
  <dcterms:created xsi:type="dcterms:W3CDTF">2025-06-06T06:20:00Z</dcterms:created>
  <dcterms:modified xsi:type="dcterms:W3CDTF">2026-06-09T08:07:00Z</dcterms:modified>
</cp:coreProperties>
</file>