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BC" w:rsidRPr="00790896" w:rsidRDefault="00B467BC" w:rsidP="00B467BC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пункт </w:t>
      </w:r>
      <w:r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7</w:t>
      </w:r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 СТО-2.5.1-2</w:t>
      </w:r>
      <w:r w:rsidR="00602D0B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p w:rsidR="00602D0B" w:rsidRPr="00602D0B" w:rsidRDefault="00602D0B" w:rsidP="00602D0B">
      <w:pPr>
        <w:keepNext/>
        <w:spacing w:before="120" w:after="120"/>
        <w:jc w:val="center"/>
        <w:outlineLvl w:val="0"/>
        <w:rPr>
          <w:rFonts w:ascii="Open Sans" w:hAnsi="Open Sans" w:cs="Open Sans"/>
          <w:b/>
          <w:bCs/>
          <w:color w:val="000000" w:themeColor="text1"/>
          <w:kern w:val="32"/>
          <w:sz w:val="22"/>
          <w:szCs w:val="22"/>
        </w:rPr>
      </w:pPr>
      <w:bookmarkStart w:id="0" w:name="_Toc216883146"/>
      <w:bookmarkStart w:id="1" w:name="_GoBack"/>
      <w:bookmarkEnd w:id="1"/>
      <w:r w:rsidRPr="00602D0B">
        <w:rPr>
          <w:rFonts w:ascii="Open Sans" w:hAnsi="Open Sans" w:cs="Open Sans"/>
          <w:b/>
          <w:bCs/>
          <w:color w:val="000000" w:themeColor="text1"/>
          <w:kern w:val="32"/>
          <w:sz w:val="22"/>
          <w:szCs w:val="22"/>
        </w:rPr>
        <w:t xml:space="preserve">7. Особые права при приеме на обучение по программам </w:t>
      </w:r>
      <w:proofErr w:type="spellStart"/>
      <w:r w:rsidRPr="00602D0B">
        <w:rPr>
          <w:rFonts w:ascii="Open Sans" w:hAnsi="Open Sans" w:cs="Open Sans"/>
          <w:b/>
          <w:bCs/>
          <w:color w:val="000000" w:themeColor="text1"/>
          <w:kern w:val="32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b/>
          <w:bCs/>
          <w:color w:val="000000" w:themeColor="text1"/>
          <w:kern w:val="32"/>
          <w:sz w:val="22"/>
          <w:szCs w:val="22"/>
        </w:rPr>
        <w:t xml:space="preserve">, программам </w:t>
      </w:r>
      <w:proofErr w:type="spellStart"/>
      <w:r w:rsidRPr="00602D0B">
        <w:rPr>
          <w:rFonts w:ascii="Open Sans" w:hAnsi="Open Sans" w:cs="Open Sans"/>
          <w:b/>
          <w:bCs/>
          <w:color w:val="000000" w:themeColor="text1"/>
          <w:kern w:val="32"/>
          <w:sz w:val="22"/>
          <w:szCs w:val="22"/>
        </w:rPr>
        <w:t>специалитета</w:t>
      </w:r>
      <w:bookmarkEnd w:id="0"/>
      <w:proofErr w:type="spellEnd"/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7.1. Поступающим на обучение по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предоставляются следующие особые права:</w:t>
      </w:r>
    </w:p>
    <w:p w:rsidR="00602D0B" w:rsidRPr="00602D0B" w:rsidRDefault="00602D0B" w:rsidP="00602D0B">
      <w:pPr>
        <w:tabs>
          <w:tab w:val="left" w:pos="0"/>
          <w:tab w:val="left" w:pos="567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1) победителям и призерам заключительного этапа </w:t>
      </w:r>
      <w:hyperlink r:id="rId5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всероссийской олимпиады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школьников, членам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6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порядке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, установленном федеральным органом исполнительной власти, осуществляющим функции по выработке и реализации государственной политики и нормативно-правовому регулированию в сфере общего образования, а также членам сборных команд иностранного государства – победителям и призерам международных олимпиад по общеобразовательным предметам, </w:t>
      </w:r>
      <w:hyperlink r:id="rId7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перечень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– право на прием без вступительных испытаний, в течение четырех лет, следующих за годом проведения соответствующей олимпиады, в соответствии с пунктом 1 частью 4 статьи 71 Федерального закона № 273-ФЗ.</w:t>
      </w:r>
    </w:p>
    <w:p w:rsidR="00602D0B" w:rsidRPr="00602D0B" w:rsidRDefault="00602D0B" w:rsidP="00602D0B">
      <w:pPr>
        <w:tabs>
          <w:tab w:val="left" w:pos="0"/>
          <w:tab w:val="left" w:pos="567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Чемпионам и призерам Олимпийских игр,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Паралимпийских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игр и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Сурдлимпийских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игр, чемпионам мира, чемпионам Европы, лицам, занявшим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Паралимпийских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игр и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Сурдлимпийских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игр, а также на иных официальных международных спортивных соревнованиях, </w:t>
      </w:r>
      <w:hyperlink r:id="rId8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перечень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которых утверждается Правительством Российской Федерации, право на прием без вступительных испытаний предоставляется по образовательным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укрупненной группы направлений подготовки 49.03.00 Физическая культура и спорт, в соответствии с пунктом 2 частью 4 статьи 71 Федерального закона № 273-ФЗ;</w:t>
      </w:r>
    </w:p>
    <w:p w:rsidR="00602D0B" w:rsidRPr="00602D0B" w:rsidRDefault="00602D0B" w:rsidP="00602D0B">
      <w:pPr>
        <w:tabs>
          <w:tab w:val="left" w:pos="0"/>
          <w:tab w:val="left" w:pos="567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2) 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и реализации государственной политики и нормативно-правовому регулированию в сфере высшего образования (далее – олимпиады школьников), в течение четырех лет, следующих за годом проведения соответствующей олимпиады, предоставляются следующие особые права: </w:t>
      </w:r>
    </w:p>
    <w:p w:rsidR="00602D0B" w:rsidRPr="00602D0B" w:rsidRDefault="00602D0B" w:rsidP="00602D0B">
      <w:pPr>
        <w:numPr>
          <w:ilvl w:val="0"/>
          <w:numId w:val="1"/>
        </w:numPr>
        <w:tabs>
          <w:tab w:val="left" w:pos="426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право на прием без вступительных испытаний;</w:t>
      </w:r>
    </w:p>
    <w:p w:rsidR="00602D0B" w:rsidRPr="00602D0B" w:rsidRDefault="00602D0B" w:rsidP="00602D0B">
      <w:pPr>
        <w:numPr>
          <w:ilvl w:val="0"/>
          <w:numId w:val="1"/>
        </w:numPr>
        <w:tabs>
          <w:tab w:val="left" w:pos="426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право быть приравненными к лицам, набравшим максимальное количество баллов ЕГЭ по общеобразовательному предмету (далее – право на 100 баллов). </w:t>
      </w:r>
    </w:p>
    <w:p w:rsidR="00602D0B" w:rsidRPr="00602D0B" w:rsidRDefault="00602D0B" w:rsidP="00602D0B">
      <w:pPr>
        <w:tabs>
          <w:tab w:val="left" w:pos="0"/>
          <w:tab w:val="left" w:pos="567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Особые права, указанные в настоящем пункте, могут предоставляться одним и тем же поступающим. Условия предоставления победителям и призерам олимпиад школьников особых прав и преимуществ приводятся в Приложении 5 к настоящим Правилам приема.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7.2. Лицам, имеющим право на прием без вступительных испытаний в соответствии с </w:t>
      </w:r>
      <w:hyperlink r:id="rId9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частью 4 статьи 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273-ФЗ, в течение срока предоставления указанного права, установленного </w:t>
      </w:r>
      <w:hyperlink r:id="rId10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частью 4 статьи 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273-ФЗ, предоставляется преимущество посредством приравнивания к лицам, имеющим 100 </w:t>
      </w:r>
      <w:r w:rsidRPr="00602D0B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баллов по общеобразовательному вступительному испытанию или по дополнительному вступительному испытанию (далее – особое преимущество).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7.3. Право на прием на обучение по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на места в пределах особой квоты в соответствии с </w:t>
      </w:r>
      <w:hyperlink r:id="rId1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частью 5 статьи 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 имеют: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2) дети-инвалиды, инвалиды I и II групп;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3) инвалиды с детства, инвалиды вследствие военной травмы или заболевания, полученных в период прохождения военной службы;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4) ветераны боевых действий из числа лиц, указанных в </w:t>
      </w:r>
      <w:hyperlink r:id="rId12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подпунктах 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>–</w:t>
      </w:r>
      <w:hyperlink r:id="rId13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4 пункта 1 статьи 3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> Федерального закона Российской Федерации от 12.01.1995 № 5-ФЗ «О ветеранах».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7.4. Право на прием на обучение по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на места в пределах отдельной квоты в соответствии с </w:t>
      </w:r>
      <w:hyperlink r:id="rId14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частями 5.1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 </w:t>
      </w:r>
      <w:hyperlink r:id="rId15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5.2 статьи 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 </w:t>
      </w:r>
      <w:bookmarkStart w:id="2" w:name="Par0"/>
      <w:bookmarkEnd w:id="2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имеют: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3" w:name="Par1"/>
      <w:bookmarkEnd w:id="3"/>
      <w:r w:rsidRPr="00602D0B">
        <w:rPr>
          <w:rFonts w:ascii="Open Sans" w:hAnsi="Open Sans" w:cs="Open Sans"/>
          <w:color w:val="000000" w:themeColor="text1"/>
          <w:sz w:val="22"/>
          <w:szCs w:val="22"/>
        </w:rPr>
        <w:t>1) Герои Российской Федерации, лица, награжденные тремя орденами Мужества;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4" w:name="Par2"/>
      <w:bookmarkEnd w:id="4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2) 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6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пункте 6 статьи 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Российской Федерации от 31.05.1996 № 61-ФЗ «Об обороне», при 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 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 указанных территориях;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3) 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 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 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</w:t>
      </w:r>
      <w:r w:rsidRPr="00602D0B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Федерации, при условии их участия в специальной военной операции на указанных территориях;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5" w:name="Par5"/>
      <w:bookmarkEnd w:id="5"/>
      <w:r w:rsidRPr="00602D0B">
        <w:rPr>
          <w:rFonts w:ascii="Open Sans" w:hAnsi="Open Sans" w:cs="Open Sans"/>
          <w:color w:val="000000" w:themeColor="text1"/>
          <w:sz w:val="22"/>
          <w:szCs w:val="22"/>
        </w:rPr>
        <w:t>4) 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 Луганской Народной Республики, начиная с 11 мая 2014 года;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5) дети лиц, указанных в </w:t>
      </w:r>
      <w:hyperlink w:anchor="Par2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подпунктах 2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>–</w:t>
      </w:r>
      <w:hyperlink w:anchor="Par5" w:history="1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4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пункта 7.4 настоящих Правил приема;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6" w:name="Par7"/>
      <w:bookmarkEnd w:id="6"/>
      <w:r w:rsidRPr="00602D0B">
        <w:rPr>
          <w:rFonts w:ascii="Open Sans" w:hAnsi="Open Sans" w:cs="Open Sans"/>
          <w:color w:val="000000" w:themeColor="text1"/>
          <w:sz w:val="22"/>
          <w:szCs w:val="22"/>
        </w:rPr>
        <w:t>6) дети военнослужащих, сотрудников федеральных органов исполнительной власти и 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7" w:name="Par8"/>
      <w:bookmarkEnd w:id="7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7) дети медицинских работников, умерших в результате инфицирования новой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коронавирусной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инфекцией (COVID-19) при исполнении ими трудовых обязанностей, по основным профессиональным образовательным программам медицинского образования 31.05.01 Лечебное дело, 31.05.02 Педиатрия.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Прием на обучение по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за счет бюджетных ассигнований в пределах отдельной квоты осуществляется без проведения вступительных испытаний (за исключением дополнительного вступительного испытания творческой и (или) профессиональной направленности) в отношении лиц:</w:t>
      </w:r>
    </w:p>
    <w:p w:rsidR="00602D0B" w:rsidRPr="00602D0B" w:rsidRDefault="00602D0B" w:rsidP="00602D0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Героев Российской Федерации, лиц, награжденных тремя орденами Мужества;</w:t>
      </w:r>
    </w:p>
    <w:p w:rsidR="00602D0B" w:rsidRPr="00602D0B" w:rsidRDefault="00602D0B" w:rsidP="00602D0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детей медицинских работников, умерших в результате инфицирования новой </w:t>
      </w:r>
      <w:proofErr w:type="spell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коронавирусной</w:t>
      </w:r>
      <w:proofErr w:type="spell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инфекцией (COVID-19) при исполнении ими трудовых обязанностей, по основным профессиональным образовательным программам медицинского образования 31.05.01 Лечебное дело, 31.05.02 Педиатрия;</w:t>
      </w:r>
    </w:p>
    <w:p w:rsidR="00602D0B" w:rsidRPr="00602D0B" w:rsidRDefault="00602D0B" w:rsidP="00602D0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детей лиц, указанных в подпунктах 2–4 пункта 7.4 настоящих Правил приема, детей военнослужащих и сотрудников, указанных в подпункте 6 пункта 7.4 настоящих Правил приема,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</w:t>
      </w:r>
      <w:proofErr w:type="gramStart"/>
      <w:r w:rsidRPr="00602D0B">
        <w:rPr>
          <w:rFonts w:ascii="Open Sans" w:hAnsi="Open Sans" w:cs="Open Sans"/>
          <w:color w:val="000000" w:themeColor="text1"/>
          <w:sz w:val="22"/>
          <w:szCs w:val="22"/>
        </w:rPr>
        <w:t>)</w:t>
      </w:r>
      <w:proofErr w:type="gramEnd"/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либо удостоенных звания Героя Российской Федерации или награжденных тремя орденами Мужества.</w:t>
      </w:r>
    </w:p>
    <w:p w:rsidR="00602D0B" w:rsidRPr="00602D0B" w:rsidRDefault="00602D0B" w:rsidP="00602D0B">
      <w:pPr>
        <w:widowControl w:val="0"/>
        <w:suppressAutoHyphens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Иные лица, указанные в пункте 7.4 настоящих Правил приема, принимаются на обучение по результатам ЕГЭ или по результатам вступительных испытаний, проводимых Университетом самостоятельно, по выбору указанных лиц.</w:t>
      </w:r>
    </w:p>
    <w:p w:rsidR="00602D0B" w:rsidRPr="00602D0B" w:rsidRDefault="00602D0B" w:rsidP="00602D0B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>7.5. Поступающим предоставляются особые права:</w:t>
      </w:r>
    </w:p>
    <w:p w:rsidR="00602D0B" w:rsidRPr="00602D0B" w:rsidRDefault="00602D0B" w:rsidP="00602D0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а) преимущественное право зачисления в соответствии с </w:t>
      </w:r>
      <w:hyperlink r:id="rId17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частью 9 статьи 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273-ФЗ;</w:t>
      </w:r>
    </w:p>
    <w:p w:rsidR="00602D0B" w:rsidRPr="00602D0B" w:rsidRDefault="00602D0B" w:rsidP="00602D0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б) преимущественное право зачисления в соответствии с </w:t>
      </w:r>
      <w:hyperlink r:id="rId18">
        <w:r w:rsidRPr="00602D0B">
          <w:rPr>
            <w:rFonts w:ascii="Open Sans" w:hAnsi="Open Sans" w:cs="Open Sans"/>
            <w:color w:val="000000" w:themeColor="text1"/>
            <w:sz w:val="22"/>
            <w:szCs w:val="22"/>
          </w:rPr>
          <w:t>частью 10 статьи 71</w:t>
        </w:r>
      </w:hyperlink>
      <w:r w:rsidRPr="00602D0B">
        <w:rPr>
          <w:rFonts w:ascii="Open Sans" w:hAnsi="Open Sans" w:cs="Open Sans"/>
          <w:color w:val="000000" w:themeColor="text1"/>
          <w:sz w:val="22"/>
          <w:szCs w:val="22"/>
        </w:rPr>
        <w:t xml:space="preserve"> Федерального закона № 273-ФЗ.</w:t>
      </w:r>
    </w:p>
    <w:p w:rsidR="0061688A" w:rsidRDefault="0061688A"/>
    <w:sectPr w:rsidR="0061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8A"/>
    <w:rsid w:val="00602D0B"/>
    <w:rsid w:val="0061688A"/>
    <w:rsid w:val="00AA152B"/>
    <w:rsid w:val="00B467BC"/>
    <w:rsid w:val="00E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B9E1"/>
  <w15:chartTrackingRefBased/>
  <w15:docId w15:val="{88C0E303-6225-48CA-85EB-2D447717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8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88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61688A"/>
    <w:pPr>
      <w:ind w:left="708"/>
    </w:pPr>
  </w:style>
  <w:style w:type="paragraph" w:customStyle="1" w:styleId="ConsPlusNormal">
    <w:name w:val="ConsPlusNormal"/>
    <w:rsid w:val="00616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rsid w:val="00616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6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763&amp;dst=100006" TargetMode="External"/><Relationship Id="rId13" Type="http://schemas.openxmlformats.org/officeDocument/2006/relationships/hyperlink" Target="https://login.consultant.ru/link/?req=doc&amp;base=LAW&amp;n=482678&amp;dst=100034" TargetMode="External"/><Relationship Id="rId18" Type="http://schemas.openxmlformats.org/officeDocument/2006/relationships/hyperlink" Target="https://login.consultant.ru/link/?req=doc&amp;base=LAW&amp;n=470336&amp;dst=1009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277&amp;dst=100006" TargetMode="External"/><Relationship Id="rId12" Type="http://schemas.openxmlformats.org/officeDocument/2006/relationships/hyperlink" Target="https://login.consultant.ru/link/?req=doc&amp;base=LAW&amp;n=482678&amp;dst=325" TargetMode="External"/><Relationship Id="rId17" Type="http://schemas.openxmlformats.org/officeDocument/2006/relationships/hyperlink" Target="https://login.consultant.ru/link/?req=doc&amp;base=LAW&amp;n=470336&amp;dst=1009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23&amp;dst=1003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39533&amp;dst=100013" TargetMode="External"/><Relationship Id="rId11" Type="http://schemas.openxmlformats.org/officeDocument/2006/relationships/hyperlink" Target="https://login.consultant.ru/link/?req=doc&amp;base=LAW&amp;n=470336&amp;dst=1011" TargetMode="External"/><Relationship Id="rId5" Type="http://schemas.openxmlformats.org/officeDocument/2006/relationships/hyperlink" Target="https://login.consultant.ru/link/?req=doc&amp;base=LAW&amp;n=485117&amp;dst=100020" TargetMode="External"/><Relationship Id="rId15" Type="http://schemas.openxmlformats.org/officeDocument/2006/relationships/hyperlink" Target="https://login.consultant.ru/link/?req=doc&amp;base=LAW&amp;n=470336&amp;dst=881" TargetMode="External"/><Relationship Id="rId10" Type="http://schemas.openxmlformats.org/officeDocument/2006/relationships/hyperlink" Target="https://login.consultant.ru/link/?req=doc&amp;base=LAW&amp;n=470336&amp;dst=1009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336&amp;dst=100946" TargetMode="External"/><Relationship Id="rId14" Type="http://schemas.openxmlformats.org/officeDocument/2006/relationships/hyperlink" Target="https://login.consultant.ru/link/?req=doc&amp;base=LAW&amp;n=470336&amp;dst=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2026-01-21T03:34:00Z</dcterms:created>
  <dcterms:modified xsi:type="dcterms:W3CDTF">2026-01-21T03:39:00Z</dcterms:modified>
</cp:coreProperties>
</file>